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85041"/>
          <w:sz w:val="44"/>
          <w:szCs w:val="44"/>
        </w:rPr>
        <w:t xml:space="preserve">Backup and Recovery Policy</w:t>
      </w:r>
    </w:p>
    <w:p>
      <w:pPr>
        <w:spacing w:after="400"/>
      </w:pPr>
      <w:r>
        <w:rPr>
          <w:color w:val="5F5E5A"/>
          <w:sz w:val="24"/>
          <w:szCs w:val="24"/>
        </w:rPr>
        <w:t xml:space="preserve">ISO/IEC 27001:2022 — Supporting ISMS Policy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30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70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owner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Manager</w:t>
            </w:r>
          </w:p>
        </w:tc>
      </w:tr>
      <w:tr>
        <w:tc>
          <w:tcPr>
            <w:tcW w:type="pct" w:w="3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Organization</w:t>
            </w:r>
          </w:p>
        </w:tc>
        <w:tc>
          <w:tcPr>
            <w:tcW w:type="pct" w:w="7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NRW Logistics GmbH (fictional entity — portfolio project)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7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Draft for management approval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pct" w:w="3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cycle</w:t>
            </w:r>
          </w:p>
        </w:tc>
        <w:tc>
          <w:tcPr>
            <w:tcW w:type="pct" w:w="7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Annually, or following a significant incident or regulatory change</w:t>
            </w:r>
          </w:p>
        </w:tc>
      </w:tr>
    </w:tbl>
    <w:p>
      <w:pPr>
        <w:spacing w:after="300"/>
      </w:pP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60"/>
      </w:pPr>
      <w:r>
        <w:t xml:space="preserve">This policy ensures the availability and recoverability of critical NRW Logistics GmbH information following data loss, corruption, or a ransomware event.</w:t>
      </w:r>
    </w:p>
    <w:p>
      <w:pPr>
        <w:pStyle w:val="Heading1"/>
        <w:spacing w:after="160" w:before="320"/>
      </w:pPr>
      <w:r>
        <w:t xml:space="preserve">2. Scope</w:t>
      </w:r>
    </w:p>
    <w:p>
      <w:pPr>
        <w:spacing w:after="160"/>
      </w:pPr>
      <w:r>
        <w:t xml:space="preserve">This policy applies to the Warehouse Management System, cloud ERP, fleet telematics data, and HQ file shares.</w:t>
      </w:r>
    </w:p>
    <w:p>
      <w:pPr>
        <w:pStyle w:val="Heading1"/>
        <w:spacing w:after="160" w:before="320"/>
      </w:pPr>
      <w:r>
        <w:t xml:space="preserve">3. Policy Statements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Critical systems (WMS, ERP, HQ file shares) shall be backed up on at least a nightly basis.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Backups shall follow a 3-2-1 strategy: at least 3 copies of data, on 2 different media types, with at least 1 copy stored offline or immutable and isolated from the production network.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Backup restoration shall be tested at least quarterly, with test results documented and reviewed by the IT Manager.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Backup data shall be encrypted both at rest and in transit.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Recovery Time Objective (RTO) and Recovery Point Objective (RPO) shall be defined for each in-scope system and reviewed annually.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Access to backup infrastructure shall be restricted to authorized IT personnel only, and all access shall be logged.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Backup failures shall be investigated and resolved within 24 hours; failures unresolved after 48 hours shall be escalated as a security incident under the Incident Management Policy.</w:t>
      </w:r>
    </w:p>
    <w:p>
      <w:pPr>
        <w:spacing w:after="200"/>
      </w:pPr>
    </w:p>
    <w:tbl>
      <w:tblPr>
        <w:tblW w:type="pct" w:w="100%"/>
        <w:tblBorders>
          <w:top w:val="single" w:color="0F6E56" w:sz="4"/>
          <w:left w:val="single" w:color="0F6E56" w:sz="12"/>
          <w:bottom w:val="single" w:color="0F6E56" w:sz="4"/>
          <w:right w:val="single" w:color="0F6E5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3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85041"/>
                <w:sz w:val="20"/>
                <w:szCs w:val="20"/>
              </w:rPr>
              <w:t xml:space="preserve">Why this matters: An untested backup is a hypothesis, not a control</w:t>
            </w:r>
          </w:p>
          <w:p>
            <w:r>
              <w:rPr>
                <w:sz w:val="20"/>
                <w:szCs w:val="20"/>
              </w:rPr>
              <w:t xml:space="preserve">The risk register identified backup restoration as untested (R-009) — the organization had backups running, but no evidence they'd actually work when needed. This is one of the most common gaps auditors find: a backup job that reports 'success' every night for years, that nobody has ever actually tried to restore from. Statement 3 exists specifically to close that gap. The offline/immutable copy in statement 2 exists because ransomware that can reach and encrypt your backups defeats the entire point of having them.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4. Roles and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30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70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Manager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Execute and monitor daily backups; conduct quarterly restoration tests</w:t>
            </w:r>
          </w:p>
        </w:tc>
      </w:tr>
      <w:tr>
        <w:tc>
          <w:tcPr>
            <w:tcW w:type="pct" w:w="3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ISMS Owner</w:t>
            </w:r>
          </w:p>
        </w:tc>
        <w:tc>
          <w:tcPr>
            <w:tcW w:type="pct" w:w="7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RTO/RPO definitions annually against business needs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Management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 budget for backup infrastructure and offline/immutable storage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5. Related Risks and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30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Reference type</w:t>
            </w:r>
          </w:p>
        </w:tc>
        <w:tc>
          <w:tcPr>
            <w:tcW w:type="pct" w:w="70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IDs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Related risk register entries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R-002, R-009</w:t>
            </w:r>
          </w:p>
        </w:tc>
      </w:tr>
      <w:tr>
        <w:tc>
          <w:tcPr>
            <w:tcW w:type="pct" w:w="3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Related Annex A controls (SoA)</w:t>
            </w:r>
          </w:p>
        </w:tc>
        <w:tc>
          <w:tcPr>
            <w:tcW w:type="pct" w:w="7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5.29, 5.30, 7.10, 8.13, 8.14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6. Non-Compliance</w:t>
      </w:r>
    </w:p>
    <w:p>
      <w:pPr>
        <w:spacing w:after="160"/>
      </w:pPr>
      <w:r>
        <w:t xml:space="preserve">Failure to perform or test backups per this policy shall be treated as a control failure and escalated to the ISMS Owner for corrective action.</w:t>
      </w:r>
    </w:p>
    <w:p>
      <w:pPr>
        <w:pStyle w:val="Heading1"/>
        <w:spacing w:after="160" w:before="320"/>
      </w:pPr>
      <w:r>
        <w:t xml:space="preserve">7. Approval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2970"/>
        <w:gridCol w:w="2970"/>
      </w:tblGrid>
      <w:tr>
        <w:trPr>
          <w:tblHeader/>
        </w:trPr>
        <w:tc>
          <w:tcPr>
            <w:tcW w:type="pct" w:w="34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3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pct" w:w="33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pct" w:w="3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Manager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4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Management representative</w:t>
            </w:r>
          </w:p>
        </w:tc>
        <w:tc>
          <w:tcPr>
            <w:tcW w:type="pct" w:w="33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33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0"/>
        <w:sz w:val="16"/>
        <w:szCs w:val="16"/>
      </w:rPr>
      <w:t xml:space="preserve">Page </w:t>
    </w:r>
    <w:r>
      <w:rPr>
        <w:color w:val="8888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0"/>
        <w:sz w:val="16"/>
        <w:szCs w:val="16"/>
      </w:rPr>
      <w:t xml:space="preserve"> of </w:t>
    </w:r>
    <w:r>
      <w:rPr>
        <w:color w:val="8888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0"/>
        <w:sz w:val="16"/>
        <w:szCs w:val="16"/>
      </w:rPr>
      <w:t xml:space="preserve">NRW Logistics GmbH — Backup and Recovery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E56" w:sz="6"/>
      </w:pBdr>
      <w:spacing w:after="160" w:before="320"/>
    </w:pPr>
    <w:rPr>
      <w:rFonts w:ascii="Calibri" w:cs="Calibri" w:eastAsia="Calibri" w:hAnsi="Calibri"/>
      <w:b/>
      <w:bCs/>
      <w:color w:val="08504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0850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2026-08-17T00:28:05.068Z</dcterms:created>
  <dcterms:modified xsi:type="dcterms:W3CDTF">2026-08-17T00:28:05.068Z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