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85041"/>
          <w:sz w:val="44"/>
          <w:szCs w:val="44"/>
        </w:rPr>
        <w:t xml:space="preserve">Incident Management Policy</w:t>
      </w:r>
    </w:p>
    <w:p>
      <w:pPr>
        <w:spacing w:after="400"/>
      </w:pPr>
      <w:r>
        <w:rPr>
          <w:color w:val="5F5E5A"/>
          <w:sz w:val="24"/>
          <w:szCs w:val="24"/>
        </w:rPr>
        <w:t xml:space="preserve">ISO/IEC 27001:2022 — Supporting ISMS Policy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owner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Manager / ISMS Owner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Organization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NRW Logistics GmbH (fictional entity — portfolio project)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 for management approval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cycle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Annually, or following a significant incident or regulatory change</w:t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60"/>
      </w:pPr>
      <w:r>
        <w:t xml:space="preserve">This policy defines how NRW Logistics GmbH detects, reports, responds to, and learns from information security incidents affecting in-scope systems.</w:t>
      </w:r>
    </w:p>
    <w:p>
      <w:pPr>
        <w:pStyle w:val="Heading1"/>
        <w:spacing w:after="160" w:before="320"/>
      </w:pPr>
      <w:r>
        <w:t xml:space="preserve">2. Scope</w:t>
      </w:r>
    </w:p>
    <w:p>
      <w:pPr>
        <w:spacing w:after="160"/>
      </w:pPr>
      <w:r>
        <w:t xml:space="preserve">This policy applies to all in-scope systems and all personnel with access to them, covering both suspected and confirmed security incidents.</w:t>
      </w:r>
    </w:p>
    <w:p>
      <w:pPr>
        <w:pStyle w:val="Heading1"/>
        <w:spacing w:after="160" w:before="320"/>
      </w:pPr>
      <w:r>
        <w:t xml:space="preserve">3. Policy Statements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suspected or confirmed security incidents must be reported to the IT Manager within 1 hour of discovery.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Incidents shall be triaged and classified by severity (Low, Medium, High, Critical) based on business impact within 4 hours of report.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 incidents involving personal data, the ISMS Owner shall assess GDPR breach notification obligations to the supervisory authority within 72 hours of becoming aware of the breach.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documented incident response plan shall be maintained covering containment, eradication, recovery, and post-incident review, with specific playbooks for ransomware and phishing scenarios.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Evidence relevant to an incident shall be preserved in a manner suitable to support investigation and potential legal or regulatory action.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post-incident review shall be conducted within 10 business days of incident closure, with lessons learned fed back into the risk register.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Incident records shall be retained for a minimum of 3 years.</w:t>
      </w:r>
    </w:p>
    <w:p>
      <w:pPr>
        <w:spacing w:after="200"/>
      </w:pPr>
    </w:p>
    <w:tbl>
      <w:tblPr>
        <w:tblW w:type="pct" w:w="100%"/>
        <w:tblBorders>
          <w:top w:val="single" w:color="0F6E56" w:sz="4"/>
          <w:left w:val="single" w:color="0F6E56" w:sz="12"/>
          <w:bottom w:val="single" w:color="0F6E56" w:sz="4"/>
          <w:right w:val="single" w:color="0F6E5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85041"/>
                <w:sz w:val="20"/>
                <w:szCs w:val="20"/>
              </w:rPr>
              <w:t xml:space="preserve">Why this matters: The 72-hour clock is a real legal deadline, not a policy suggestion</w:t>
            </w:r>
          </w:p>
          <w:p>
            <w:r>
              <w:rPr>
                <w:sz w:val="20"/>
                <w:szCs w:val="20"/>
              </w:rPr>
              <w:t xml:space="preserve">GDPR Article 33 requires notifying the supervisory authority within 72 hours of becoming aware of a personal data breach where there's risk to individuals. That deadline starts the moment the organization becomes aware, not the moment the incident is fully understood — which is exactly why statement 2 requires severity triage within 4 hours: the organization needs to know fast enough to make the 72-hour window achievable. This is a good example of a policy detail driven directly by external regulatory requirement rather than internal preference.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4. Roles and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7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Manager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responder and technical coordinator for all incidents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ISMS Owner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 assessment, regulatory liaison, GDPR breach assessment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Decision-making authority for major incidents and external communications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employees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suspected incidents immediately; preserve evidence, do not attempt independent remediation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5. Related Risks and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 type</w:t>
            </w:r>
          </w:p>
        </w:tc>
        <w:tc>
          <w:tcPr>
            <w:tcW w:type="pct" w:w="7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IDs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Related risk register entries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R-001, R-002, R-006, R-009, R-011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Related Annex A controls (SoA)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5.24, 5.25, 5.26, 5.27, 5.28, 8.15, 8.16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6. Non-Compliance</w:t>
      </w:r>
    </w:p>
    <w:p>
      <w:pPr>
        <w:spacing w:after="160"/>
      </w:pPr>
      <w:r>
        <w:t xml:space="preserve">Failure to report a known or suspected incident within the required timeframe is itself treated as a policy violation, given the regulatory and financial consequences of delayed response.</w:t>
      </w:r>
    </w:p>
    <w:p>
      <w:pPr>
        <w:pStyle w:val="Heading1"/>
        <w:spacing w:after="160" w:before="320"/>
      </w:pPr>
      <w:r>
        <w:t xml:space="preserve">7.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970"/>
        <w:gridCol w:w="2970"/>
      </w:tblGrid>
      <w:tr>
        <w:trPr>
          <w:tblHeader/>
        </w:trPr>
        <w:tc>
          <w:tcPr>
            <w:tcW w:type="pct" w:w="34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3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33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pct" w:w="3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Manager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4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Management representative</w:t>
            </w:r>
          </w:p>
        </w:tc>
        <w:tc>
          <w:tcPr>
            <w:tcW w:type="pct" w:w="33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0"/>
        <w:sz w:val="16"/>
        <w:szCs w:val="16"/>
      </w:rPr>
      <w:t xml:space="preserve">Page </w:t>
    </w:r>
    <w:r>
      <w:rPr>
        <w:color w:val="8888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0"/>
        <w:sz w:val="16"/>
        <w:szCs w:val="16"/>
      </w:rPr>
      <w:t xml:space="preserve"> of </w:t>
    </w:r>
    <w:r>
      <w:rPr>
        <w:color w:val="8888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0"/>
        <w:sz w:val="16"/>
        <w:szCs w:val="16"/>
      </w:rPr>
      <w:t xml:space="preserve">NRW Logistics GmbH — Incident Management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E56" w:sz="6"/>
      </w:pBdr>
      <w:spacing w:after="160" w:before="320"/>
    </w:pPr>
    <w:rPr>
      <w:rFonts w:ascii="Calibri" w:cs="Calibri" w:eastAsia="Calibri" w:hAnsi="Calibri"/>
      <w:b/>
      <w:bCs/>
      <w:color w:val="08504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850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2026-08-17T00:28:05.054Z</dcterms:created>
  <dcterms:modified xsi:type="dcterms:W3CDTF">2026-08-17T00:28:05.054Z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