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085041"/>
          <w:sz w:val="44"/>
          <w:szCs w:val="44"/>
        </w:rPr>
        <w:t xml:space="preserve">Information Security Policy</w:t>
      </w:r>
    </w:p>
    <w:p>
      <w:pPr>
        <w:spacing w:after="400"/>
      </w:pPr>
      <w:r>
        <w:rPr>
          <w:color w:val="5F5E5A"/>
          <w:sz w:val="24"/>
          <w:szCs w:val="24"/>
        </w:rPr>
        <w:t xml:space="preserve">ISO/IEC 27001:2022 — Supporting ISMS Policy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pct" w:w="30%"/>
            <w:shd w:fill="0F6E56" w:val="clear"/>
            <w:tcMar>
              <w:top w:type="dxa" w:w="100"/>
              <w:left w:type="dxa" w:w="120"/>
              <w:bottom w:type="dxa" w:w="100"/>
              <w:right w:type="dxa" w:w="120"/>
            </w:tcMar>
          </w:tcPr>
          <w:p>
            <w:r>
              <w:rPr>
                <w:b/>
                <w:bCs/>
                <w:color w:val="FFFFFF"/>
                <w:sz w:val="20"/>
                <w:szCs w:val="20"/>
              </w:rPr>
              <w:t xml:space="preserve">Field</w:t>
            </w:r>
          </w:p>
        </w:tc>
        <w:tc>
          <w:tcPr>
            <w:tcW w:type="pct" w:w="70%"/>
            <w:shd w:fill="0F6E56" w:val="clear"/>
            <w:tcMar>
              <w:top w:type="dxa" w:w="100"/>
              <w:left w:type="dxa" w:w="120"/>
              <w:bottom w:type="dxa" w:w="100"/>
              <w:right w:type="dxa" w:w="120"/>
            </w:tcMar>
          </w:tcPr>
          <w:p>
            <w:r>
              <w:rPr>
                <w:b/>
                <w:bCs/>
                <w:color w:val="FFFFFF"/>
                <w:sz w:val="20"/>
                <w:szCs w:val="20"/>
              </w:rPr>
              <w:t xml:space="preserve">Value</w:t>
            </w:r>
          </w:p>
        </w:tc>
      </w:tr>
      <w:tr>
        <w:tc>
          <w:tcPr>
            <w:tcW w:type="pct" w:w="30%"/>
            <w:tcMar>
              <w:top w:type="dxa" w:w="100"/>
              <w:left w:type="dxa" w:w="120"/>
              <w:bottom w:type="dxa" w:w="100"/>
              <w:right w:type="dxa" w:w="120"/>
            </w:tcMar>
          </w:tcPr>
          <w:p>
            <w:r>
              <w:rPr>
                <w:b w:val="false"/>
                <w:bCs w:val="false"/>
                <w:sz w:val="20"/>
                <w:szCs w:val="20"/>
              </w:rPr>
              <w:t xml:space="preserve">Document owner</w:t>
            </w:r>
          </w:p>
        </w:tc>
        <w:tc>
          <w:tcPr>
            <w:tcW w:type="pct" w:w="70%"/>
            <w:tcMar>
              <w:top w:type="dxa" w:w="100"/>
              <w:left w:type="dxa" w:w="120"/>
              <w:bottom w:type="dxa" w:w="100"/>
              <w:right w:type="dxa" w:w="120"/>
            </w:tcMar>
          </w:tcPr>
          <w:p>
            <w:r>
              <w:rPr>
                <w:b w:val="false"/>
                <w:bCs w:val="false"/>
                <w:sz w:val="20"/>
                <w:szCs w:val="20"/>
              </w:rPr>
              <w:t xml:space="preserve">Management / ISMS Owner</w:t>
            </w:r>
          </w:p>
        </w:tc>
      </w:tr>
      <w:tr>
        <w:tc>
          <w:tcPr>
            <w:tcW w:type="pct" w:w="30%"/>
            <w:shd w:fill="F7F7F5" w:val="clear"/>
            <w:tcMar>
              <w:top w:type="dxa" w:w="100"/>
              <w:left w:type="dxa" w:w="120"/>
              <w:bottom w:type="dxa" w:w="100"/>
              <w:right w:type="dxa" w:w="120"/>
            </w:tcMar>
          </w:tcPr>
          <w:p>
            <w:r>
              <w:rPr>
                <w:b w:val="false"/>
                <w:bCs w:val="false"/>
                <w:sz w:val="20"/>
                <w:szCs w:val="20"/>
              </w:rPr>
              <w:t xml:space="preserve">Organization</w:t>
            </w:r>
          </w:p>
        </w:tc>
        <w:tc>
          <w:tcPr>
            <w:tcW w:type="pct" w:w="70%"/>
            <w:shd w:fill="F7F7F5" w:val="clear"/>
            <w:tcMar>
              <w:top w:type="dxa" w:w="100"/>
              <w:left w:type="dxa" w:w="120"/>
              <w:bottom w:type="dxa" w:w="100"/>
              <w:right w:type="dxa" w:w="120"/>
            </w:tcMar>
          </w:tcPr>
          <w:p>
            <w:r>
              <w:rPr>
                <w:b w:val="false"/>
                <w:bCs w:val="false"/>
                <w:sz w:val="20"/>
                <w:szCs w:val="20"/>
              </w:rPr>
              <w:t xml:space="preserve">NRW Logistics GmbH (fictional entity — portfolio project)</w:t>
            </w:r>
          </w:p>
        </w:tc>
      </w:tr>
      <w:tr>
        <w:tc>
          <w:tcPr>
            <w:tcW w:type="pct" w:w="30%"/>
            <w:tcMar>
              <w:top w:type="dxa" w:w="100"/>
              <w:left w:type="dxa" w:w="120"/>
              <w:bottom w:type="dxa" w:w="100"/>
              <w:right w:type="dxa" w:w="120"/>
            </w:tcMar>
          </w:tcPr>
          <w:p>
            <w:r>
              <w:rPr>
                <w:b w:val="false"/>
                <w:bCs w:val="false"/>
                <w:sz w:val="20"/>
                <w:szCs w:val="20"/>
              </w:rPr>
              <w:t xml:space="preserve">Version</w:t>
            </w:r>
          </w:p>
        </w:tc>
        <w:tc>
          <w:tcPr>
            <w:tcW w:type="pct" w:w="70%"/>
            <w:tcMar>
              <w:top w:type="dxa" w:w="100"/>
              <w:left w:type="dxa" w:w="120"/>
              <w:bottom w:type="dxa" w:w="100"/>
              <w:right w:type="dxa" w:w="120"/>
            </w:tcMar>
          </w:tcPr>
          <w:p>
            <w:r>
              <w:rPr>
                <w:b w:val="false"/>
                <w:bCs w:val="false"/>
                <w:sz w:val="20"/>
                <w:szCs w:val="20"/>
              </w:rPr>
              <w:t xml:space="preserve">1.0</w:t>
            </w:r>
          </w:p>
        </w:tc>
      </w:tr>
      <w:tr>
        <w:tc>
          <w:tcPr>
            <w:tcW w:type="pct" w:w="30%"/>
            <w:shd w:fill="F7F7F5" w:val="clear"/>
            <w:tcMar>
              <w:top w:type="dxa" w:w="100"/>
              <w:left w:type="dxa" w:w="120"/>
              <w:bottom w:type="dxa" w:w="100"/>
              <w:right w:type="dxa" w:w="120"/>
            </w:tcMar>
          </w:tcPr>
          <w:p>
            <w:r>
              <w:rPr>
                <w:b w:val="false"/>
                <w:bCs w:val="false"/>
                <w:sz w:val="20"/>
                <w:szCs w:val="20"/>
              </w:rPr>
              <w:t xml:space="preserve">Status</w:t>
            </w:r>
          </w:p>
        </w:tc>
        <w:tc>
          <w:tcPr>
            <w:tcW w:type="pct" w:w="70%"/>
            <w:shd w:fill="F7F7F5" w:val="clear"/>
            <w:tcMar>
              <w:top w:type="dxa" w:w="100"/>
              <w:left w:type="dxa" w:w="120"/>
              <w:bottom w:type="dxa" w:w="100"/>
              <w:right w:type="dxa" w:w="120"/>
            </w:tcMar>
          </w:tcPr>
          <w:p>
            <w:r>
              <w:rPr>
                <w:b w:val="false"/>
                <w:bCs w:val="false"/>
                <w:sz w:val="20"/>
                <w:szCs w:val="20"/>
              </w:rPr>
              <w:t xml:space="preserve">Draft for management approval</w:t>
            </w:r>
          </w:p>
        </w:tc>
      </w:tr>
      <w:tr>
        <w:tc>
          <w:tcPr>
            <w:tcW w:type="pct" w:w="30%"/>
            <w:tcMar>
              <w:top w:type="dxa" w:w="100"/>
              <w:left w:type="dxa" w:w="120"/>
              <w:bottom w:type="dxa" w:w="100"/>
              <w:right w:type="dxa" w:w="120"/>
            </w:tcMar>
          </w:tcPr>
          <w:p>
            <w:r>
              <w:rPr>
                <w:b w:val="false"/>
                <w:bCs w:val="false"/>
                <w:sz w:val="20"/>
                <w:szCs w:val="20"/>
              </w:rPr>
              <w:t xml:space="preserve">Classification</w:t>
            </w:r>
          </w:p>
        </w:tc>
        <w:tc>
          <w:tcPr>
            <w:tcW w:type="pct" w:w="70%"/>
            <w:tcMar>
              <w:top w:type="dxa" w:w="100"/>
              <w:left w:type="dxa" w:w="120"/>
              <w:bottom w:type="dxa" w:w="100"/>
              <w:right w:type="dxa" w:w="120"/>
            </w:tcMar>
          </w:tcPr>
          <w:p>
            <w:r>
              <w:rPr>
                <w:b w:val="false"/>
                <w:bCs w:val="false"/>
                <w:sz w:val="20"/>
                <w:szCs w:val="20"/>
              </w:rPr>
              <w:t xml:space="preserve">Internal</w:t>
            </w:r>
          </w:p>
        </w:tc>
      </w:tr>
      <w:tr>
        <w:tc>
          <w:tcPr>
            <w:tcW w:type="pct" w:w="30%"/>
            <w:shd w:fill="F7F7F5" w:val="clear"/>
            <w:tcMar>
              <w:top w:type="dxa" w:w="100"/>
              <w:left w:type="dxa" w:w="120"/>
              <w:bottom w:type="dxa" w:w="100"/>
              <w:right w:type="dxa" w:w="120"/>
            </w:tcMar>
          </w:tcPr>
          <w:p>
            <w:r>
              <w:rPr>
                <w:b w:val="false"/>
                <w:bCs w:val="false"/>
                <w:sz w:val="20"/>
                <w:szCs w:val="20"/>
              </w:rPr>
              <w:t xml:space="preserve">Review cycle</w:t>
            </w:r>
          </w:p>
        </w:tc>
        <w:tc>
          <w:tcPr>
            <w:tcW w:type="pct" w:w="70%"/>
            <w:shd w:fill="F7F7F5" w:val="clear"/>
            <w:tcMar>
              <w:top w:type="dxa" w:w="100"/>
              <w:left w:type="dxa" w:w="120"/>
              <w:bottom w:type="dxa" w:w="100"/>
              <w:right w:type="dxa" w:w="120"/>
            </w:tcMar>
          </w:tcPr>
          <w:p>
            <w:r>
              <w:rPr>
                <w:b w:val="false"/>
                <w:bCs w:val="false"/>
                <w:sz w:val="20"/>
                <w:szCs w:val="20"/>
              </w:rPr>
              <w:t xml:space="preserve">Annually, or following a significant incident or regulatory change</w:t>
            </w:r>
          </w:p>
        </w:tc>
      </w:tr>
    </w:tbl>
    <w:p>
      <w:pPr>
        <w:spacing w:after="300"/>
      </w:pPr>
    </w:p>
    <w:p>
      <w:pPr>
        <w:pStyle w:val="Heading1"/>
        <w:spacing w:after="160" w:before="320"/>
      </w:pPr>
      <w:r>
        <w:t xml:space="preserve">1. Purpose</w:t>
      </w:r>
    </w:p>
    <w:p>
      <w:pPr>
        <w:spacing w:after="160"/>
      </w:pPr>
      <w:r>
        <w:t xml:space="preserve">This policy establishes NRW Logistics GmbH's overall commitment to information security and provides the framework within which all supporting ISMS policies operate.</w:t>
      </w:r>
    </w:p>
    <w:p>
      <w:pPr>
        <w:pStyle w:val="Heading1"/>
        <w:spacing w:after="160" w:before="320"/>
      </w:pPr>
      <w:r>
        <w:t xml:space="preserve">2. Scope</w:t>
      </w:r>
    </w:p>
    <w:p>
      <w:pPr>
        <w:spacing w:after="160"/>
      </w:pPr>
      <w:r>
        <w:t xml:space="preserve">This policy applies to all systems, locations, and personnel within the ISMS scope defined in the ISMS Scope Document: the HQ network, Warehouse Management System, fleet telematics, and cloud ERP.</w:t>
      </w:r>
    </w:p>
    <w:p>
      <w:pPr>
        <w:pStyle w:val="Heading1"/>
        <w:spacing w:after="160" w:before="320"/>
      </w:pPr>
      <w:r>
        <w:t xml:space="preserve">3. Policy Statements</w:t>
      </w:r>
    </w:p>
    <w:p>
      <w:pPr>
        <w:pStyle w:val="ListParagraph"/>
        <w:numPr>
          <w:ilvl w:val="0"/>
          <w:numId w:val="2"/>
        </w:numPr>
        <w:spacing w:after="100"/>
      </w:pPr>
      <w:r>
        <w:t xml:space="preserve">NRW Logistics GmbH is committed to protecting the confidentiality, integrity, and availability of information assets within the ISMS scope.</w:t>
      </w:r>
    </w:p>
    <w:p>
      <w:pPr>
        <w:pStyle w:val="ListParagraph"/>
        <w:numPr>
          <w:ilvl w:val="0"/>
          <w:numId w:val="2"/>
        </w:numPr>
        <w:spacing w:after="100"/>
      </w:pPr>
      <w:r>
        <w:t xml:space="preserve">Information security objectives shall be defined, measured, and reviewed at least annually by management as part of the management review process.</w:t>
      </w:r>
    </w:p>
    <w:p>
      <w:pPr>
        <w:pStyle w:val="ListParagraph"/>
        <w:numPr>
          <w:ilvl w:val="0"/>
          <w:numId w:val="2"/>
        </w:numPr>
        <w:spacing w:after="100"/>
      </w:pPr>
      <w:r>
        <w:t xml:space="preserve">All employees, contractors, and third parties with access to in-scope systems must comply with this policy and its supporting policies (Access Control, Acceptable Use, Incident Management, Backup and Recovery).</w:t>
      </w:r>
    </w:p>
    <w:p>
      <w:pPr>
        <w:pStyle w:val="ListParagraph"/>
        <w:numPr>
          <w:ilvl w:val="0"/>
          <w:numId w:val="2"/>
        </w:numPr>
        <w:spacing w:after="100"/>
      </w:pPr>
      <w:r>
        <w:t xml:space="preserve">Information security roles and responsibilities shall be assigned and documented, including a designated ISMS owner accountable for maintaining the management system.</w:t>
      </w:r>
    </w:p>
    <w:p>
      <w:pPr>
        <w:pStyle w:val="ListParagraph"/>
        <w:numPr>
          <w:ilvl w:val="0"/>
          <w:numId w:val="2"/>
        </w:numPr>
        <w:spacing w:after="100"/>
      </w:pPr>
      <w:r>
        <w:t xml:space="preserve">Risk assessments shall be performed at least annually, and whenever significant changes occur to in-scope systems, using the methodology defined in the Risk Register.</w:t>
      </w:r>
    </w:p>
    <w:p>
      <w:pPr>
        <w:pStyle w:val="ListParagraph"/>
        <w:numPr>
          <w:ilvl w:val="0"/>
          <w:numId w:val="2"/>
        </w:numPr>
        <w:spacing w:after="100"/>
      </w:pPr>
      <w:r>
        <w:t xml:space="preserve">All security incidents shall be reported and managed in accordance with the Incident Management Policy.</w:t>
      </w:r>
    </w:p>
    <w:p>
      <w:pPr>
        <w:pStyle w:val="ListParagraph"/>
        <w:numPr>
          <w:ilvl w:val="0"/>
          <w:numId w:val="2"/>
        </w:numPr>
        <w:spacing w:after="100"/>
      </w:pPr>
      <w:r>
        <w:t xml:space="preserve">This policy shall be reviewed at least annually, or following a significant security incident or regulatory change.</w:t>
      </w:r>
    </w:p>
    <w:p>
      <w:pPr>
        <w:spacing w:after="200"/>
      </w:pPr>
    </w:p>
    <w:tbl>
      <w:tblPr>
        <w:tblW w:type="pct" w:w="100%"/>
        <w:tblBorders>
          <w:top w:val="single" w:color="0F6E56" w:sz="4"/>
          <w:left w:val="single" w:color="0F6E56" w:sz="12"/>
          <w:bottom w:val="single" w:color="0F6E56" w:sz="4"/>
          <w:right w:val="single" w:color="0F6E56" w:sz="4"/>
          <w:insideH w:val="none" w:color="FFFFFF" w:sz="0"/>
          <w:insideV w:val="none" w:color="FFFFFF" w:sz="0"/>
        </w:tblBorders>
      </w:tblPr>
      <w:tblGrid>
        <w:gridCol w:w="100"/>
      </w:tblGrid>
      <w:tr>
        <w:tc>
          <w:tcPr>
            <w:shd w:fill="EEF3F0" w:val="clear"/>
            <w:tcMar>
              <w:top w:type="dxa" w:w="160"/>
              <w:left w:type="dxa" w:w="200"/>
              <w:bottom w:type="dxa" w:w="160"/>
              <w:right w:type="dxa" w:w="200"/>
            </w:tcMar>
          </w:tcPr>
          <w:p>
            <w:pPr>
              <w:spacing w:after="80"/>
            </w:pPr>
            <w:r>
              <w:rPr>
                <w:b/>
                <w:bCs/>
                <w:color w:val="085041"/>
                <w:sz w:val="20"/>
                <w:szCs w:val="20"/>
              </w:rPr>
              <w:t xml:space="preserve">Why this matters: This is the policy the rest of the ISMS points back to</w:t>
            </w:r>
          </w:p>
          <w:p>
            <w:r>
              <w:rPr>
                <w:sz w:val="20"/>
                <w:szCs w:val="20"/>
              </w:rPr>
              <w:t xml:space="preserve">Annex A control 5.1 requires a top-level information security policy, and every supporting policy in this project cites it as their source of authority. In an audit, this is usually the first document requested — not because its content is complex, but because it demonstrates documented management commitment (Clause 5.1), which everything else in the ISMS depends on to be credible.</w:t>
            </w:r>
          </w:p>
        </w:tc>
      </w:tr>
    </w:tbl>
    <w:p>
      <w:pPr>
        <w:spacing w:after="200"/>
      </w:pPr>
    </w:p>
    <w:p>
      <w:pPr>
        <w:pStyle w:val="Heading1"/>
        <w:spacing w:after="160" w:before="320"/>
      </w:pPr>
      <w:r>
        <w:t xml:space="preserve">4. Roles and Responsibilities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pct" w:w="30%"/>
            <w:shd w:fill="0F6E56" w:val="clear"/>
            <w:tcMar>
              <w:top w:type="dxa" w:w="100"/>
              <w:left w:type="dxa" w:w="120"/>
              <w:bottom w:type="dxa" w:w="100"/>
              <w:right w:type="dxa" w:w="120"/>
            </w:tcMar>
          </w:tcPr>
          <w:p>
            <w:r>
              <w:rPr>
                <w:b/>
                <w:bCs/>
                <w:color w:val="FFFFFF"/>
                <w:sz w:val="20"/>
                <w:szCs w:val="20"/>
              </w:rPr>
              <w:t xml:space="preserve">Role</w:t>
            </w:r>
          </w:p>
        </w:tc>
        <w:tc>
          <w:tcPr>
            <w:tcW w:type="pct" w:w="70%"/>
            <w:shd w:fill="0F6E56" w:val="clear"/>
            <w:tcMar>
              <w:top w:type="dxa" w:w="100"/>
              <w:left w:type="dxa" w:w="120"/>
              <w:bottom w:type="dxa" w:w="100"/>
              <w:right w:type="dxa" w:w="120"/>
            </w:tcMar>
          </w:tcPr>
          <w:p>
            <w:r>
              <w:rPr>
                <w:b/>
                <w:bCs/>
                <w:color w:val="FFFFFF"/>
                <w:sz w:val="20"/>
                <w:szCs w:val="20"/>
              </w:rPr>
              <w:t xml:space="preserve">Responsibility</w:t>
            </w:r>
          </w:p>
        </w:tc>
      </w:tr>
      <w:tr>
        <w:tc>
          <w:tcPr>
            <w:tcW w:type="pct" w:w="30%"/>
            <w:tcMar>
              <w:top w:type="dxa" w:w="100"/>
              <w:left w:type="dxa" w:w="120"/>
              <w:bottom w:type="dxa" w:w="100"/>
              <w:right w:type="dxa" w:w="120"/>
            </w:tcMar>
          </w:tcPr>
          <w:p>
            <w:r>
              <w:rPr>
                <w:b w:val="false"/>
                <w:bCs w:val="false"/>
                <w:sz w:val="20"/>
                <w:szCs w:val="20"/>
              </w:rPr>
              <w:t xml:space="preserve">Management</w:t>
            </w:r>
          </w:p>
        </w:tc>
        <w:tc>
          <w:tcPr>
            <w:tcW w:type="pct" w:w="70%"/>
            <w:tcMar>
              <w:top w:type="dxa" w:w="100"/>
              <w:left w:type="dxa" w:w="120"/>
              <w:bottom w:type="dxa" w:w="100"/>
              <w:right w:type="dxa" w:w="120"/>
            </w:tcMar>
          </w:tcPr>
          <w:p>
            <w:r>
              <w:rPr>
                <w:b w:val="false"/>
                <w:bCs w:val="false"/>
                <w:sz w:val="20"/>
                <w:szCs w:val="20"/>
              </w:rPr>
              <w:t xml:space="preserve">Approve this policy, allocate resources, demonstrate visible commitment to information security</w:t>
            </w:r>
          </w:p>
        </w:tc>
      </w:tr>
      <w:tr>
        <w:tc>
          <w:tcPr>
            <w:tcW w:type="pct" w:w="30%"/>
            <w:shd w:fill="F7F7F5" w:val="clear"/>
            <w:tcMar>
              <w:top w:type="dxa" w:w="100"/>
              <w:left w:type="dxa" w:w="120"/>
              <w:bottom w:type="dxa" w:w="100"/>
              <w:right w:type="dxa" w:w="120"/>
            </w:tcMar>
          </w:tcPr>
          <w:p>
            <w:r>
              <w:rPr>
                <w:b w:val="false"/>
                <w:bCs w:val="false"/>
                <w:sz w:val="20"/>
                <w:szCs w:val="20"/>
              </w:rPr>
              <w:t xml:space="preserve">ISMS Owner / GRC Analyst</w:t>
            </w:r>
          </w:p>
        </w:tc>
        <w:tc>
          <w:tcPr>
            <w:tcW w:type="pct" w:w="70%"/>
            <w:shd w:fill="F7F7F5" w:val="clear"/>
            <w:tcMar>
              <w:top w:type="dxa" w:w="100"/>
              <w:left w:type="dxa" w:w="120"/>
              <w:bottom w:type="dxa" w:w="100"/>
              <w:right w:type="dxa" w:w="120"/>
            </w:tcMar>
          </w:tcPr>
          <w:p>
            <w:r>
              <w:rPr>
                <w:b w:val="false"/>
                <w:bCs w:val="false"/>
                <w:sz w:val="20"/>
                <w:szCs w:val="20"/>
              </w:rPr>
              <w:t xml:space="preserve">Maintain the ISMS, coordinate risk assessments, track policy compliance</w:t>
            </w:r>
          </w:p>
        </w:tc>
      </w:tr>
      <w:tr>
        <w:tc>
          <w:tcPr>
            <w:tcW w:type="pct" w:w="30%"/>
            <w:tcMar>
              <w:top w:type="dxa" w:w="100"/>
              <w:left w:type="dxa" w:w="120"/>
              <w:bottom w:type="dxa" w:w="100"/>
              <w:right w:type="dxa" w:w="120"/>
            </w:tcMar>
          </w:tcPr>
          <w:p>
            <w:r>
              <w:rPr>
                <w:b w:val="false"/>
                <w:bCs w:val="false"/>
                <w:sz w:val="20"/>
                <w:szCs w:val="20"/>
              </w:rPr>
              <w:t xml:space="preserve">IT Manager</w:t>
            </w:r>
          </w:p>
        </w:tc>
        <w:tc>
          <w:tcPr>
            <w:tcW w:type="pct" w:w="70%"/>
            <w:tcMar>
              <w:top w:type="dxa" w:w="100"/>
              <w:left w:type="dxa" w:w="120"/>
              <w:bottom w:type="dxa" w:w="100"/>
              <w:right w:type="dxa" w:w="120"/>
            </w:tcMar>
          </w:tcPr>
          <w:p>
            <w:r>
              <w:rPr>
                <w:b w:val="false"/>
                <w:bCs w:val="false"/>
                <w:sz w:val="20"/>
                <w:szCs w:val="20"/>
              </w:rPr>
              <w:t xml:space="preserve">Implement and operate technical controls supporting this policy</w:t>
            </w:r>
          </w:p>
        </w:tc>
      </w:tr>
      <w:tr>
        <w:tc>
          <w:tcPr>
            <w:tcW w:type="pct" w:w="30%"/>
            <w:shd w:fill="F7F7F5" w:val="clear"/>
            <w:tcMar>
              <w:top w:type="dxa" w:w="100"/>
              <w:left w:type="dxa" w:w="120"/>
              <w:bottom w:type="dxa" w:w="100"/>
              <w:right w:type="dxa" w:w="120"/>
            </w:tcMar>
          </w:tcPr>
          <w:p>
            <w:r>
              <w:rPr>
                <w:b w:val="false"/>
                <w:bCs w:val="false"/>
                <w:sz w:val="20"/>
                <w:szCs w:val="20"/>
              </w:rPr>
              <w:t xml:space="preserve">All employees and contractors</w:t>
            </w:r>
          </w:p>
        </w:tc>
        <w:tc>
          <w:tcPr>
            <w:tcW w:type="pct" w:w="70%"/>
            <w:shd w:fill="F7F7F5" w:val="clear"/>
            <w:tcMar>
              <w:top w:type="dxa" w:w="100"/>
              <w:left w:type="dxa" w:w="120"/>
              <w:bottom w:type="dxa" w:w="100"/>
              <w:right w:type="dxa" w:w="120"/>
            </w:tcMar>
          </w:tcPr>
          <w:p>
            <w:r>
              <w:rPr>
                <w:b w:val="false"/>
                <w:bCs w:val="false"/>
                <w:sz w:val="20"/>
                <w:szCs w:val="20"/>
              </w:rPr>
              <w:t xml:space="preserve">Comply with this policy and report suspected violations or incidents</w:t>
            </w:r>
          </w:p>
        </w:tc>
      </w:tr>
    </w:tbl>
    <w:p>
      <w:pPr>
        <w:spacing w:after="200"/>
      </w:pPr>
    </w:p>
    <w:p>
      <w:pPr>
        <w:pStyle w:val="Heading1"/>
        <w:spacing w:after="160" w:before="320"/>
      </w:pPr>
      <w:r>
        <w:t xml:space="preserve">5. Related Risks and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pct" w:w="30%"/>
            <w:shd w:fill="0F6E56" w:val="clear"/>
            <w:tcMar>
              <w:top w:type="dxa" w:w="100"/>
              <w:left w:type="dxa" w:w="120"/>
              <w:bottom w:type="dxa" w:w="100"/>
              <w:right w:type="dxa" w:w="120"/>
            </w:tcMar>
          </w:tcPr>
          <w:p>
            <w:r>
              <w:rPr>
                <w:b/>
                <w:bCs/>
                <w:color w:val="FFFFFF"/>
                <w:sz w:val="20"/>
                <w:szCs w:val="20"/>
              </w:rPr>
              <w:t xml:space="preserve">Reference type</w:t>
            </w:r>
          </w:p>
        </w:tc>
        <w:tc>
          <w:tcPr>
            <w:tcW w:type="pct" w:w="70%"/>
            <w:shd w:fill="0F6E56" w:val="clear"/>
            <w:tcMar>
              <w:top w:type="dxa" w:w="100"/>
              <w:left w:type="dxa" w:w="120"/>
              <w:bottom w:type="dxa" w:w="100"/>
              <w:right w:type="dxa" w:w="120"/>
            </w:tcMar>
          </w:tcPr>
          <w:p>
            <w:r>
              <w:rPr>
                <w:b/>
                <w:bCs/>
                <w:color w:val="FFFFFF"/>
                <w:sz w:val="20"/>
                <w:szCs w:val="20"/>
              </w:rPr>
              <w:t xml:space="preserve">IDs</w:t>
            </w:r>
          </w:p>
        </w:tc>
      </w:tr>
      <w:tr>
        <w:tc>
          <w:tcPr>
            <w:tcW w:type="pct" w:w="30%"/>
            <w:tcMar>
              <w:top w:type="dxa" w:w="100"/>
              <w:left w:type="dxa" w:w="120"/>
              <w:bottom w:type="dxa" w:w="100"/>
              <w:right w:type="dxa" w:w="120"/>
            </w:tcMar>
          </w:tcPr>
          <w:p>
            <w:r>
              <w:rPr>
                <w:b w:val="false"/>
                <w:bCs w:val="false"/>
                <w:sz w:val="20"/>
                <w:szCs w:val="20"/>
              </w:rPr>
              <w:t xml:space="preserve">Related risk register entries</w:t>
            </w:r>
          </w:p>
        </w:tc>
        <w:tc>
          <w:tcPr>
            <w:tcW w:type="pct" w:w="70%"/>
            <w:tcMar>
              <w:top w:type="dxa" w:w="100"/>
              <w:left w:type="dxa" w:w="120"/>
              <w:bottom w:type="dxa" w:w="100"/>
              <w:right w:type="dxa" w:w="120"/>
            </w:tcMar>
          </w:tcPr>
          <w:p>
            <w:r>
              <w:rPr>
                <w:b w:val="false"/>
                <w:bCs w:val="false"/>
                <w:sz w:val="20"/>
                <w:szCs w:val="20"/>
              </w:rPr>
              <w:t xml:space="preserve">R-001 through R-012 (all risk register entries)</w:t>
            </w:r>
          </w:p>
        </w:tc>
      </w:tr>
      <w:tr>
        <w:tc>
          <w:tcPr>
            <w:tcW w:type="pct" w:w="30%"/>
            <w:shd w:fill="F7F7F5" w:val="clear"/>
            <w:tcMar>
              <w:top w:type="dxa" w:w="100"/>
              <w:left w:type="dxa" w:w="120"/>
              <w:bottom w:type="dxa" w:w="100"/>
              <w:right w:type="dxa" w:w="120"/>
            </w:tcMar>
          </w:tcPr>
          <w:p>
            <w:r>
              <w:rPr>
                <w:b w:val="false"/>
                <w:bCs w:val="false"/>
                <w:sz w:val="20"/>
                <w:szCs w:val="20"/>
              </w:rPr>
              <w:t xml:space="preserve">Related Annex A controls (SoA)</w:t>
            </w:r>
          </w:p>
        </w:tc>
        <w:tc>
          <w:tcPr>
            <w:tcW w:type="pct" w:w="70%"/>
            <w:shd w:fill="F7F7F5" w:val="clear"/>
            <w:tcMar>
              <w:top w:type="dxa" w:w="100"/>
              <w:left w:type="dxa" w:w="120"/>
              <w:bottom w:type="dxa" w:w="100"/>
              <w:right w:type="dxa" w:w="120"/>
            </w:tcMar>
          </w:tcPr>
          <w:p>
            <w:r>
              <w:rPr>
                <w:b w:val="false"/>
                <w:bCs w:val="false"/>
                <w:sz w:val="20"/>
                <w:szCs w:val="20"/>
              </w:rPr>
              <w:t xml:space="preserve">5.1, 5.2, 5.4 (Organizational)</w:t>
            </w:r>
          </w:p>
        </w:tc>
      </w:tr>
    </w:tbl>
    <w:p>
      <w:pPr>
        <w:spacing w:after="200"/>
      </w:pPr>
    </w:p>
    <w:p>
      <w:pPr>
        <w:pStyle w:val="Heading1"/>
        <w:spacing w:after="160" w:before="320"/>
      </w:pPr>
      <w:r>
        <w:t xml:space="preserve">6. Non-Compliance</w:t>
      </w:r>
    </w:p>
    <w:p>
      <w:pPr>
        <w:spacing w:after="160"/>
      </w:pPr>
      <w:r>
        <w:t xml:space="preserve">Failure to comply with this policy may result in disciplinary action up to and including termination of employment or contract, in accordance with the Acceptable Use Policy and applicable German labor law.</w:t>
      </w:r>
    </w:p>
    <w:p>
      <w:pPr>
        <w:pStyle w:val="Heading1"/>
        <w:spacing w:after="160" w:before="320"/>
      </w:pPr>
      <w:r>
        <w:t xml:space="preserve">7. Approval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60"/>
        <w:gridCol w:w="2970"/>
        <w:gridCol w:w="2970"/>
      </w:tblGrid>
      <w:tr>
        <w:trPr>
          <w:tblHeader/>
        </w:trPr>
        <w:tc>
          <w:tcPr>
            <w:tcW w:type="pct" w:w="34%"/>
            <w:shd w:fill="0F6E56" w:val="clear"/>
            <w:tcMar>
              <w:top w:type="dxa" w:w="100"/>
              <w:left w:type="dxa" w:w="120"/>
              <w:bottom w:type="dxa" w:w="100"/>
              <w:right w:type="dxa" w:w="120"/>
            </w:tcMar>
          </w:tcPr>
          <w:p>
            <w:r>
              <w:rPr>
                <w:b/>
                <w:bCs/>
                <w:color w:val="FFFFFF"/>
                <w:sz w:val="20"/>
                <w:szCs w:val="20"/>
              </w:rPr>
              <w:t xml:space="preserve">Role</w:t>
            </w:r>
          </w:p>
        </w:tc>
        <w:tc>
          <w:tcPr>
            <w:tcW w:type="pct" w:w="33%"/>
            <w:shd w:fill="0F6E56" w:val="clear"/>
            <w:tcMar>
              <w:top w:type="dxa" w:w="100"/>
              <w:left w:type="dxa" w:w="120"/>
              <w:bottom w:type="dxa" w:w="100"/>
              <w:right w:type="dxa" w:w="120"/>
            </w:tcMar>
          </w:tcPr>
          <w:p>
            <w:r>
              <w:rPr>
                <w:b/>
                <w:bCs/>
                <w:color w:val="FFFFFF"/>
                <w:sz w:val="20"/>
                <w:szCs w:val="20"/>
              </w:rPr>
              <w:t xml:space="preserve">Name</w:t>
            </w:r>
          </w:p>
        </w:tc>
        <w:tc>
          <w:tcPr>
            <w:tcW w:type="pct" w:w="33%"/>
            <w:shd w:fill="0F6E56" w:val="clear"/>
            <w:tcMar>
              <w:top w:type="dxa" w:w="100"/>
              <w:left w:type="dxa" w:w="120"/>
              <w:bottom w:type="dxa" w:w="100"/>
              <w:right w:type="dxa" w:w="120"/>
            </w:tcMar>
          </w:tcPr>
          <w:p>
            <w:r>
              <w:rPr>
                <w:b/>
                <w:bCs/>
                <w:color w:val="FFFFFF"/>
                <w:sz w:val="20"/>
                <w:szCs w:val="20"/>
              </w:rPr>
              <w:t xml:space="preserve">Date</w:t>
            </w:r>
          </w:p>
        </w:tc>
      </w:tr>
      <w:tr>
        <w:tc>
          <w:tcPr>
            <w:tcW w:type="pct" w:w="34%"/>
            <w:tcMar>
              <w:top w:type="dxa" w:w="100"/>
              <w:left w:type="dxa" w:w="120"/>
              <w:bottom w:type="dxa" w:w="100"/>
              <w:right w:type="dxa" w:w="120"/>
            </w:tcMar>
          </w:tcPr>
          <w:p>
            <w:r>
              <w:rPr>
                <w:b w:val="false"/>
                <w:bCs w:val="false"/>
                <w:sz w:val="20"/>
                <w:szCs w:val="20"/>
              </w:rPr>
              <w:t xml:space="preserve">Management representative</w:t>
            </w:r>
          </w:p>
        </w:tc>
        <w:tc>
          <w:tcPr>
            <w:tcW w:type="pct" w:w="33%"/>
            <w:tcMar>
              <w:top w:type="dxa" w:w="100"/>
              <w:left w:type="dxa" w:w="120"/>
              <w:bottom w:type="dxa" w:w="100"/>
              <w:right w:type="dxa" w:w="120"/>
            </w:tcMar>
          </w:tcPr>
          <w:p>
            <w:r>
              <w:rPr>
                <w:b w:val="false"/>
                <w:bCs w:val="false"/>
                <w:sz w:val="20"/>
                <w:szCs w:val="20"/>
              </w:rPr>
              <w:t xml:space="preserve"/>
            </w:r>
          </w:p>
        </w:tc>
        <w:tc>
          <w:tcPr>
            <w:tcW w:type="pct" w:w="33%"/>
            <w:tcMar>
              <w:top w:type="dxa" w:w="100"/>
              <w:left w:type="dxa" w:w="120"/>
              <w:bottom w:type="dxa" w:w="100"/>
              <w:right w:type="dxa" w:w="120"/>
            </w:tcMar>
          </w:tcPr>
          <w:p>
            <w:r>
              <w:rPr>
                <w:b w:val="false"/>
                <w:bCs w:val="false"/>
                <w:sz w:val="20"/>
                <w:szCs w:val="20"/>
              </w:rPr>
              <w:t xml:space="preserve"/>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0"/>
        <w:sz w:val="16"/>
        <w:szCs w:val="16"/>
      </w:rPr>
      <w:t xml:space="preserve">Page </w:t>
    </w:r>
    <w:r>
      <w:rPr>
        <w:color w:val="888880"/>
        <w:sz w:val="16"/>
        <w:szCs w:val="16"/>
      </w:rPr>
      <w:fldChar w:fldCharType="begin"/>
      <w:instrText xml:space="preserve">PAGE</w:instrText>
      <w:fldChar w:fldCharType="separate"/>
      <w:fldChar w:fldCharType="end"/>
    </w:r>
    <w:r>
      <w:rPr>
        <w:color w:val="888880"/>
        <w:sz w:val="16"/>
        <w:szCs w:val="16"/>
      </w:rPr>
      <w:t xml:space="preserve"> of </w:t>
    </w:r>
    <w:r>
      <w:rPr>
        <w:color w:val="8888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0"/>
        <w:sz w:val="16"/>
        <w:szCs w:val="16"/>
      </w:rPr>
      <w:t xml:space="preserve">NRW Logistics GmbH — Information Security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6E56" w:sz="6"/>
      </w:pBdr>
      <w:spacing w:after="160" w:before="320"/>
    </w:pPr>
    <w:rPr>
      <w:rFonts w:ascii="Calibri" w:cs="Calibri" w:eastAsia="Calibri" w:hAnsi="Calibri"/>
      <w:b/>
      <w:bCs/>
      <w:color w:val="085041"/>
      <w:sz w:val="30"/>
      <w:szCs w:val="30"/>
    </w:rPr>
  </w:style>
  <w:style w:type="paragraph" w:styleId="Heading2">
    <w:name w:val="Heading 2"/>
    <w:basedOn w:val="Normal"/>
    <w:next w:val="Normal"/>
    <w:qFormat/>
    <w:pPr>
      <w:spacing w:after="120" w:before="240"/>
    </w:pPr>
    <w:rPr>
      <w:rFonts w:ascii="Calibri" w:cs="Calibri" w:eastAsia="Calibri" w:hAnsi="Calibri"/>
      <w:b/>
      <w:bCs/>
      <w:color w:val="08504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2026-08-17T00:28:04.991Z</dcterms:created>
  <dcterms:modified xsi:type="dcterms:W3CDTF">2026-08-17T00:28:05.005Z</dcterms:modified>
</cp:coreProperties>
</file>

<file path=docProps/custom.xml><?xml version="1.0" encoding="utf-8"?>
<Properties xmlns="http://schemas.openxmlformats.org/officeDocument/2006/custom-properties" xmlns:vt="http://schemas.openxmlformats.org/officeDocument/2006/docPropsVTypes"/>
</file>