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IT Risk Assessment Report</w:t>
      </w:r>
    </w:p>
    <w:p>
      <w:pPr>
        <w:spacing w:after="800" w:before="200"/>
        <w:jc w:val="center"/>
      </w:pPr>
      <w:r>
        <w:rPr>
          <w:color w:val="444444"/>
          <w:sz w:val="28"/>
          <w:szCs w:val="28"/>
        </w:rPr>
        <w:t xml:space="preserve">Home Lab Environment — ISO/IEC 27001:2022</w:t>
      </w:r>
    </w:p>
    <w:p>
      <w:pPr>
        <w:spacing w:before="1600"/>
        <w:jc w:val="center"/>
      </w:pPr>
      <w:r>
        <w:rPr>
          <w:sz w:val="22"/>
          <w:szCs w:val="22"/>
        </w:rPr>
        <w:t xml:space="preserve">Prepared by Ekeoma Eneogwe</w:t>
      </w:r>
    </w:p>
    <w:p>
      <w:pPr>
        <w:spacing w:before="80"/>
        <w:jc w:val="center"/>
      </w:pPr>
      <w:r>
        <w:rPr>
          <w:sz w:val="22"/>
          <w:szCs w:val="22"/>
        </w:rPr>
        <w:t xml:space="preserve">August 2026</w:t>
      </w:r>
    </w:p>
    <w:p>
      <w:pPr>
        <w:spacing w:before="80"/>
        <w:jc w:val="center"/>
      </w:pPr>
      <w:r>
        <w:rPr>
          <w:sz w:val="22"/>
          <w:szCs w:val="22"/>
        </w:rPr>
        <w:t xml:space="preserve">Platform: ServiceNow Integrated Risk Management (IRM)</w:t>
      </w:r>
    </w:p>
    <w:p>
      <w:pPr>
        <w:spacing w:after="400" w:before="80"/>
        <w:jc w:val="center"/>
      </w:pPr>
      <w:r>
        <w:rPr>
          <w:color w:val="555555"/>
          <w:sz w:val="20"/>
          <w:szCs w:val="20"/>
        </w:rPr>
        <w:t xml:space="preserve">Repository: github.com/Ekeoma-SOC-Labs/servicenow-irm-risk-assessment</w:t>
      </w:r>
    </w:p>
    <w:p>
      <w:r>
        <w:br w:type="page"/>
      </w:r>
    </w:p>
    <w:p>
      <w:pPr>
        <w:pStyle w:val="Heading1"/>
        <w:spacing w:after="160" w:before="320"/>
      </w:pPr>
      <w:r>
        <w:t xml:space="preserve">Table of Contents</w:t>
      </w:r>
    </w:p>
    <w:p>
      <w:pPr>
        <w:tabs>
          <w:tab w:val="right" w:pos="9026" w:leader="dot"/>
        </w:tabs>
        <w:spacing w:after="130"/>
      </w:pPr>
      <w:r>
        <w:rPr>
          <w:sz w:val="21"/>
          <w:szCs w:val="21"/>
        </w:rPr>
        <w:t xml:space="preserve">Executive Summary	3</w:t>
      </w:r>
    </w:p>
    <w:p>
      <w:pPr>
        <w:tabs>
          <w:tab w:val="right" w:pos="9026" w:leader="dot"/>
        </w:tabs>
        <w:spacing w:after="130"/>
      </w:pPr>
      <w:r>
        <w:rPr>
          <w:sz w:val="21"/>
          <w:szCs w:val="21"/>
        </w:rPr>
        <w:t xml:space="preserve">1. Introduction	3</w:t>
      </w:r>
    </w:p>
    <w:p>
      <w:pPr>
        <w:tabs>
          <w:tab w:val="right" w:pos="9026" w:leader="dot"/>
        </w:tabs>
        <w:spacing w:after="130"/>
      </w:pPr>
      <w:r>
        <w:rPr>
          <w:sz w:val="21"/>
          <w:szCs w:val="21"/>
        </w:rPr>
        <w:t xml:space="preserve">2. Environment Overview	4</w:t>
      </w:r>
    </w:p>
    <w:p>
      <w:pPr>
        <w:tabs>
          <w:tab w:val="right" w:pos="9026" w:leader="dot"/>
        </w:tabs>
        <w:spacing w:after="130"/>
      </w:pPr>
      <w:r>
        <w:rPr>
          <w:sz w:val="21"/>
          <w:szCs w:val="21"/>
        </w:rPr>
        <w:t xml:space="preserve">3. Framework Mapping	4</w:t>
      </w:r>
    </w:p>
    <w:p>
      <w:pPr>
        <w:tabs>
          <w:tab w:val="right" w:pos="9026" w:leader="dot"/>
        </w:tabs>
        <w:spacing w:after="130"/>
      </w:pPr>
      <w:r>
        <w:rPr>
          <w:sz w:val="21"/>
          <w:szCs w:val="21"/>
        </w:rPr>
        <w:t xml:space="preserve">4. Risk Assessment	5</w:t>
      </w:r>
    </w:p>
    <w:p>
      <w:pPr>
        <w:tabs>
          <w:tab w:val="right" w:pos="9026" w:leader="dot"/>
        </w:tabs>
        <w:spacing w:after="130"/>
      </w:pPr>
      <w:r>
        <w:rPr>
          <w:sz w:val="21"/>
          <w:szCs w:val="21"/>
        </w:rPr>
        <w:t xml:space="preserve">5. Controls and Treatment	5</w:t>
      </w:r>
    </w:p>
    <w:p>
      <w:pPr>
        <w:tabs>
          <w:tab w:val="right" w:pos="9026" w:leader="dot"/>
        </w:tabs>
        <w:spacing w:after="130"/>
      </w:pPr>
      <w:r>
        <w:rPr>
          <w:sz w:val="21"/>
          <w:szCs w:val="21"/>
        </w:rPr>
        <w:t xml:space="preserve">6. Platform and Tooling Observations	6</w:t>
      </w:r>
    </w:p>
    <w:p>
      <w:pPr>
        <w:tabs>
          <w:tab w:val="right" w:pos="9026" w:leader="dot"/>
        </w:tabs>
        <w:spacing w:after="130"/>
      </w:pPr>
      <w:r>
        <w:rPr>
          <w:sz w:val="21"/>
          <w:szCs w:val="21"/>
        </w:rPr>
        <w:t xml:space="preserve">7. Conclusion and Recommendations	7</w:t>
      </w:r>
    </w:p>
    <w:p>
      <w:pPr>
        <w:tabs>
          <w:tab w:val="right" w:pos="9026" w:leader="dot"/>
        </w:tabs>
        <w:spacing w:after="130"/>
      </w:pPr>
      <w:r>
        <w:rPr>
          <w:sz w:val="21"/>
          <w:szCs w:val="21"/>
        </w:rPr>
        <w:t xml:space="preserve">Appendix A: Citation Reference	8</w:t>
      </w:r>
    </w:p>
    <w:p>
      <w:r>
        <w:br w:type="page"/>
      </w:r>
    </w:p>
    <w:p>
      <w:pPr>
        <w:pStyle w:val="Heading1"/>
        <w:spacing w:after="160" w:before="320"/>
      </w:pPr>
      <w:r>
        <w:t xml:space="preserve">Executive Summary</w:t>
      </w:r>
    </w:p>
    <w:p>
      <w:pPr>
        <w:spacing w:after="180" w:line="300"/>
      </w:pPr>
      <w:r>
        <w:rPr>
          <w:i w:val="false"/>
          <w:iCs w:val="false"/>
          <w:sz w:val="21"/>
          <w:szCs w:val="21"/>
        </w:rPr>
        <w:t xml:space="preserve">This report presents an IT risk assessment of a four-asset home lab environment, conducted using ServiceNow's Integrated Risk Management (IRM) suite and mapped against the ISO/IEC 27001:2022 standard. The assessment established a complete governance, risk, and compliance workflow: eleven Annex A controls were mapped to five control objectives, five risks specific to the environment were identified and quantitatively scored, and each risk received a documented treatment decision supported by an active, monitored control.</w:t>
      </w:r>
    </w:p>
    <w:p>
      <w:pPr>
        <w:spacing w:after="180" w:line="300"/>
      </w:pPr>
      <w:r>
        <w:rPr>
          <w:i w:val="false"/>
          <w:iCs w:val="false"/>
          <w:sz w:val="21"/>
          <w:szCs w:val="21"/>
        </w:rPr>
        <w:t xml:space="preserve">All five risks carried a low residual exposure relative to the scale of the environment, and every associated control was advanced through its full operational lifecycle to an active monitoring state. No risk required escalation or additional remediation beyond the mitigating control already in place.</w:t>
      </w:r>
    </w:p>
    <w:p>
      <w:pPr>
        <w:spacing w:after="180" w:line="300"/>
      </w:pPr>
      <w:r>
        <w:rPr>
          <w:i w:val="false"/>
          <w:iCs w:val="false"/>
          <w:sz w:val="21"/>
          <w:szCs w:val="21"/>
        </w:rPr>
        <w:t xml:space="preserve">Three platform-level constraints were encountered during the assessment and are documented in Section 6: a relationship type that would not persist between Risk and Control records, treatment-elaboration fields that remained inaccessible regardless of the response selected, and an attestation cycle that requires campaign-level administrative configuration beyond the scope of this build. In each case the underlying data and decisions were preserved and are recorded directly in this report; the constraints reflect the boundaries of a developer instance, not gaps in the assessment.</w:t>
      </w:r>
    </w:p>
    <w:p>
      <w:pPr>
        <w:pStyle w:val="Heading1"/>
        <w:spacing w:after="160" w:before="320"/>
      </w:pPr>
      <w:r>
        <w:t xml:space="preserve">1. Introduction</w:t>
      </w:r>
    </w:p>
    <w:p>
      <w:pPr>
        <w:pStyle w:val="Heading2"/>
        <w:spacing w:after="120" w:before="240"/>
      </w:pPr>
      <w:r>
        <w:t xml:space="preserve">1.1 Purpose</w:t>
      </w:r>
    </w:p>
    <w:p>
      <w:pPr>
        <w:spacing w:after="180" w:line="300"/>
      </w:pPr>
      <w:r>
        <w:rPr>
          <w:i w:val="false"/>
          <w:iCs w:val="false"/>
          <w:sz w:val="21"/>
          <w:szCs w:val="21"/>
        </w:rPr>
        <w:t xml:space="preserve">This assessment was conducted to evaluate the information security risk posture of a personally operated home lab environment, and to demonstrate an end-to-end Governance, Risk, and Compliance (GRC) workflow — framework mapping, risk identification and scoring, control implementation, and treatment — using ServiceNow IRM as the platform of record.</w:t>
      </w:r>
    </w:p>
    <w:p>
      <w:pPr>
        <w:pStyle w:val="Heading2"/>
        <w:spacing w:after="120" w:before="240"/>
      </w:pPr>
      <w:r>
        <w:t xml:space="preserve">1.2 Scope</w:t>
      </w:r>
    </w:p>
    <w:p>
      <w:pPr>
        <w:spacing w:after="180" w:line="300"/>
      </w:pPr>
      <w:r>
        <w:rPr>
          <w:i w:val="false"/>
          <w:iCs w:val="false"/>
          <w:sz w:val="21"/>
          <w:szCs w:val="21"/>
        </w:rPr>
        <w:t xml:space="preserve">The assessment covers four in-scope assets that together form the home lab environment: a Windows domain controller, a Windows endpoint, a Linux-based SIEM, and a security testing platform (full detail in Section 2). Rather than assess the complete 93-control Annex A set, scope was deliberately narrowed to eleven controls directly relevant to these assets, spanning the Organizational and Technological control themes. This reflects standard risk assessment practice: control selection driven by what is actually present in the environment, rather than exhaustive coverage for its own sake.</w:t>
      </w:r>
    </w:p>
    <w:p>
      <w:pPr>
        <w:pStyle w:val="Heading2"/>
        <w:spacing w:after="120" w:before="240"/>
      </w:pPr>
      <w:r>
        <w:t xml:space="preserve">1.3 Methodology</w:t>
      </w:r>
    </w:p>
    <w:p>
      <w:pPr>
        <w:spacing w:after="180" w:line="300"/>
      </w:pPr>
      <w:r>
        <w:rPr>
          <w:i w:val="false"/>
          <w:iCs w:val="false"/>
          <w:sz w:val="21"/>
          <w:szCs w:val="21"/>
        </w:rPr>
        <w:t xml:space="preserve">The assessment followed a four-phase methodology:</w:t>
      </w:r>
    </w:p>
    <w:p>
      <w:pPr>
        <w:pStyle w:val="ListParagraph"/>
        <w:numPr>
          <w:ilvl w:val="0"/>
          <w:numId w:val="1"/>
        </w:numPr>
        <w:spacing w:after="100"/>
      </w:pPr>
      <w:r>
        <w:rPr>
          <w:sz w:val="21"/>
          <w:szCs w:val="21"/>
        </w:rPr>
        <w:t xml:space="preserve">Phase 1 — Foundation: provisioning of the ServiceNow instance, installation of the IRM application suite, configuration of role-based access control, and inventory of in-scope assets.</w:t>
      </w:r>
    </w:p>
    <w:p>
      <w:pPr>
        <w:pStyle w:val="ListParagraph"/>
        <w:numPr>
          <w:ilvl w:val="0"/>
          <w:numId w:val="1"/>
        </w:numPr>
        <w:spacing w:after="100"/>
      </w:pPr>
      <w:r>
        <w:rPr>
          <w:sz w:val="21"/>
          <w:szCs w:val="21"/>
        </w:rPr>
        <w:t xml:space="preserve">Phase 2 — Framework Mapping: selection of ISO/IEC 27001:2022 as the assessment standard, creation of the Authority Document record, extraction of relevant Annex A citations, and grouping of those citations into control objectives aligned to the environment.</w:t>
      </w:r>
    </w:p>
    <w:p>
      <w:pPr>
        <w:pStyle w:val="ListParagraph"/>
        <w:numPr>
          <w:ilvl w:val="0"/>
          <w:numId w:val="1"/>
        </w:numPr>
        <w:spacing w:after="100"/>
      </w:pPr>
      <w:r>
        <w:rPr>
          <w:sz w:val="21"/>
          <w:szCs w:val="21"/>
        </w:rPr>
        <w:t xml:space="preserve">Phase 3 — Risk Assessment: identification of risks corresponding to each control objective, and quantitative scoring using a Single Loss Expectancy × Annualized Rate of Occurrence model.</w:t>
      </w:r>
    </w:p>
    <w:p>
      <w:pPr>
        <w:pStyle w:val="ListParagraph"/>
        <w:numPr>
          <w:ilvl w:val="0"/>
          <w:numId w:val="1"/>
        </w:numPr>
        <w:spacing w:after="100"/>
      </w:pPr>
      <w:r>
        <w:rPr>
          <w:sz w:val="21"/>
          <w:szCs w:val="21"/>
        </w:rPr>
        <w:t xml:space="preserve">Phase 4 — Treatment &amp; Monitoring: recording a treatment decision for each risk and advancing each control through its operational lifecycle to an active monitoring state.</w:t>
      </w:r>
    </w:p>
    <w:p>
      <w:pPr>
        <w:pStyle w:val="Heading1"/>
        <w:spacing w:after="160" w:before="320"/>
      </w:pPr>
      <w:r>
        <w:t xml:space="preserve">2. Environment Overview</w:t>
      </w:r>
    </w:p>
    <w:p>
      <w:pPr>
        <w:spacing w:after="180" w:line="300"/>
      </w:pPr>
      <w:r>
        <w:rPr>
          <w:i w:val="false"/>
          <w:iCs w:val="false"/>
          <w:sz w:val="21"/>
          <w:szCs w:val="21"/>
        </w:rPr>
        <w:t xml:space="preserve">The assessed environment is a virtualized home lab running on Oracle VirtualBox, networked via combined NAT and Host-Only adapters on the 192.168.56.0/24 range. Four assets make up the in-scope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1F3864" w:val="clear"/>
            <w:tcMar>
              <w:top w:type="dxa" w:w="90"/>
              <w:left w:type="dxa" w:w="120"/>
              <w:bottom w:type="dxa" w:w="90"/>
              <w:right w:type="dxa" w:w="120"/>
            </w:tcMar>
            <w:vAlign w:val="center"/>
          </w:tcPr>
          <w:p>
            <w:r>
              <w:rPr>
                <w:b/>
                <w:bCs/>
                <w:color w:val="FFFFFF"/>
                <w:sz w:val="19"/>
                <w:szCs w:val="19"/>
              </w:rPr>
              <w:t xml:space="preserve">Asset</w:t>
            </w:r>
          </w:p>
        </w:tc>
        <w:tc>
          <w:tcPr>
            <w:tcW w:type="dxa" w:w="2400"/>
            <w:shd w:fill="1F3864" w:val="clear"/>
            <w:tcMar>
              <w:top w:type="dxa" w:w="90"/>
              <w:left w:type="dxa" w:w="120"/>
              <w:bottom w:type="dxa" w:w="90"/>
              <w:right w:type="dxa" w:w="120"/>
            </w:tcMar>
            <w:vAlign w:val="center"/>
          </w:tcPr>
          <w:p>
            <w:r>
              <w:rPr>
                <w:b/>
                <w:bCs/>
                <w:color w:val="FFFFFF"/>
                <w:sz w:val="19"/>
                <w:szCs w:val="19"/>
              </w:rPr>
              <w:t xml:space="preserve">Role</w:t>
            </w:r>
          </w:p>
        </w:tc>
        <w:tc>
          <w:tcPr>
            <w:tcW w:type="dxa" w:w="4426"/>
            <w:shd w:fill="1F3864" w:val="clear"/>
            <w:tcMar>
              <w:top w:type="dxa" w:w="90"/>
              <w:left w:type="dxa" w:w="120"/>
              <w:bottom w:type="dxa" w:w="90"/>
              <w:right w:type="dxa" w:w="120"/>
            </w:tcMar>
            <w:vAlign w:val="center"/>
          </w:tcPr>
          <w:p>
            <w:r>
              <w:rPr>
                <w:b/>
                <w:bCs/>
                <w:color w:val="FFFFFF"/>
                <w:sz w:val="19"/>
                <w:szCs w:val="19"/>
              </w:rPr>
              <w:t xml:space="preserve">Platform</w:t>
            </w:r>
          </w:p>
        </w:tc>
      </w:tr>
      <w:tr>
        <w:tc>
          <w:tcPr>
            <w:tcW w:type="dxa" w:w="2200"/>
            <w:tcMar>
              <w:top w:type="dxa" w:w="90"/>
              <w:left w:type="dxa" w:w="120"/>
              <w:bottom w:type="dxa" w:w="90"/>
              <w:right w:type="dxa" w:w="120"/>
            </w:tcMar>
            <w:vAlign w:val="center"/>
          </w:tcPr>
          <w:p>
            <w:r>
              <w:rPr>
                <w:b w:val="false"/>
                <w:bCs w:val="false"/>
                <w:sz w:val="19"/>
                <w:szCs w:val="19"/>
              </w:rPr>
              <w:t xml:space="preserve">DC01</w:t>
            </w:r>
          </w:p>
        </w:tc>
        <w:tc>
          <w:tcPr>
            <w:tcW w:type="dxa" w:w="2400"/>
            <w:tcMar>
              <w:top w:type="dxa" w:w="90"/>
              <w:left w:type="dxa" w:w="120"/>
              <w:bottom w:type="dxa" w:w="90"/>
              <w:right w:type="dxa" w:w="120"/>
            </w:tcMar>
            <w:vAlign w:val="center"/>
          </w:tcPr>
          <w:p>
            <w:r>
              <w:rPr>
                <w:b w:val="false"/>
                <w:bCs w:val="false"/>
                <w:sz w:val="19"/>
                <w:szCs w:val="19"/>
              </w:rPr>
              <w:t xml:space="preserve">Domain Controller</w:t>
            </w:r>
          </w:p>
        </w:tc>
        <w:tc>
          <w:tcPr>
            <w:tcW w:type="dxa" w:w="4426"/>
            <w:tcMar>
              <w:top w:type="dxa" w:w="90"/>
              <w:left w:type="dxa" w:w="120"/>
              <w:bottom w:type="dxa" w:w="90"/>
              <w:right w:type="dxa" w:w="120"/>
            </w:tcMar>
            <w:vAlign w:val="center"/>
          </w:tcPr>
          <w:p>
            <w:r>
              <w:rPr>
                <w:b w:val="false"/>
                <w:bCs w:val="false"/>
                <w:sz w:val="19"/>
                <w:szCs w:val="19"/>
              </w:rPr>
              <w:t xml:space="preserve">Windows Server 2019</w:t>
            </w:r>
          </w:p>
        </w:tc>
      </w:tr>
      <w:tr>
        <w:tc>
          <w:tcPr>
            <w:tcW w:type="dxa" w:w="2200"/>
            <w:shd w:fill="F2F2F2" w:val="clear"/>
            <w:tcMar>
              <w:top w:type="dxa" w:w="90"/>
              <w:left w:type="dxa" w:w="120"/>
              <w:bottom w:type="dxa" w:w="90"/>
              <w:right w:type="dxa" w:w="120"/>
            </w:tcMar>
            <w:vAlign w:val="center"/>
          </w:tcPr>
          <w:p>
            <w:r>
              <w:rPr>
                <w:b w:val="false"/>
                <w:bCs w:val="false"/>
                <w:sz w:val="19"/>
                <w:szCs w:val="19"/>
              </w:rPr>
              <w:t xml:space="preserve">Win10-CL01</w:t>
            </w:r>
          </w:p>
        </w:tc>
        <w:tc>
          <w:tcPr>
            <w:tcW w:type="dxa" w:w="2400"/>
            <w:shd w:fill="F2F2F2" w:val="clear"/>
            <w:tcMar>
              <w:top w:type="dxa" w:w="90"/>
              <w:left w:type="dxa" w:w="120"/>
              <w:bottom w:type="dxa" w:w="90"/>
              <w:right w:type="dxa" w:w="120"/>
            </w:tcMar>
            <w:vAlign w:val="center"/>
          </w:tcPr>
          <w:p>
            <w:r>
              <w:rPr>
                <w:b w:val="false"/>
                <w:bCs w:val="false"/>
                <w:sz w:val="19"/>
                <w:szCs w:val="19"/>
              </w:rPr>
              <w:t xml:space="preserve">Managed Endpoint</w:t>
            </w:r>
          </w:p>
        </w:tc>
        <w:tc>
          <w:tcPr>
            <w:tcW w:type="dxa" w:w="4426"/>
            <w:shd w:fill="F2F2F2" w:val="clear"/>
            <w:tcMar>
              <w:top w:type="dxa" w:w="90"/>
              <w:left w:type="dxa" w:w="120"/>
              <w:bottom w:type="dxa" w:w="90"/>
              <w:right w:type="dxa" w:w="120"/>
            </w:tcMar>
            <w:vAlign w:val="center"/>
          </w:tcPr>
          <w:p>
            <w:r>
              <w:rPr>
                <w:b w:val="false"/>
                <w:bCs w:val="false"/>
                <w:sz w:val="19"/>
                <w:szCs w:val="19"/>
              </w:rPr>
              <w:t xml:space="preserve">Windows 10 (192.168.56.102), Microsoft Defender</w:t>
            </w:r>
          </w:p>
        </w:tc>
      </w:tr>
      <w:tr>
        <w:tc>
          <w:tcPr>
            <w:tcW w:type="dxa" w:w="2200"/>
            <w:tcMar>
              <w:top w:type="dxa" w:w="90"/>
              <w:left w:type="dxa" w:w="120"/>
              <w:bottom w:type="dxa" w:w="90"/>
              <w:right w:type="dxa" w:w="120"/>
            </w:tcMar>
            <w:vAlign w:val="center"/>
          </w:tcPr>
          <w:p>
            <w:r>
              <w:rPr>
                <w:b w:val="false"/>
                <w:bCs w:val="false"/>
                <w:sz w:val="19"/>
                <w:szCs w:val="19"/>
              </w:rPr>
              <w:t xml:space="preserve">Ubuntu-Splunk</w:t>
            </w:r>
          </w:p>
        </w:tc>
        <w:tc>
          <w:tcPr>
            <w:tcW w:type="dxa" w:w="2400"/>
            <w:tcMar>
              <w:top w:type="dxa" w:w="90"/>
              <w:left w:type="dxa" w:w="120"/>
              <w:bottom w:type="dxa" w:w="90"/>
              <w:right w:type="dxa" w:w="120"/>
            </w:tcMar>
            <w:vAlign w:val="center"/>
          </w:tcPr>
          <w:p>
            <w:r>
              <w:rPr>
                <w:b w:val="false"/>
                <w:bCs w:val="false"/>
                <w:sz w:val="19"/>
                <w:szCs w:val="19"/>
              </w:rPr>
              <w:t xml:space="preserve">SIEM</w:t>
            </w:r>
          </w:p>
        </w:tc>
        <w:tc>
          <w:tcPr>
            <w:tcW w:type="dxa" w:w="4426"/>
            <w:tcMar>
              <w:top w:type="dxa" w:w="90"/>
              <w:left w:type="dxa" w:w="120"/>
              <w:bottom w:type="dxa" w:w="90"/>
              <w:right w:type="dxa" w:w="120"/>
            </w:tcMar>
            <w:vAlign w:val="center"/>
          </w:tcPr>
          <w:p>
            <w:r>
              <w:rPr>
                <w:b w:val="false"/>
                <w:bCs w:val="false"/>
                <w:sz w:val="19"/>
                <w:szCs w:val="19"/>
              </w:rPr>
              <w:t xml:space="preserve">Ubuntu 64-bit with Splunk</w:t>
            </w:r>
          </w:p>
        </w:tc>
      </w:tr>
      <w:tr>
        <w:tc>
          <w:tcPr>
            <w:tcW w:type="dxa" w:w="2200"/>
            <w:shd w:fill="F2F2F2" w:val="clear"/>
            <w:tcMar>
              <w:top w:type="dxa" w:w="90"/>
              <w:left w:type="dxa" w:w="120"/>
              <w:bottom w:type="dxa" w:w="90"/>
              <w:right w:type="dxa" w:w="120"/>
            </w:tcMar>
            <w:vAlign w:val="center"/>
          </w:tcPr>
          <w:p>
            <w:r>
              <w:rPr>
                <w:b w:val="false"/>
                <w:bCs w:val="false"/>
                <w:sz w:val="19"/>
                <w:szCs w:val="19"/>
              </w:rPr>
              <w:t xml:space="preserve">Kali Linux</w:t>
            </w:r>
          </w:p>
        </w:tc>
        <w:tc>
          <w:tcPr>
            <w:tcW w:type="dxa" w:w="2400"/>
            <w:shd w:fill="F2F2F2" w:val="clear"/>
            <w:tcMar>
              <w:top w:type="dxa" w:w="90"/>
              <w:left w:type="dxa" w:w="120"/>
              <w:bottom w:type="dxa" w:w="90"/>
              <w:right w:type="dxa" w:w="120"/>
            </w:tcMar>
            <w:vAlign w:val="center"/>
          </w:tcPr>
          <w:p>
            <w:r>
              <w:rPr>
                <w:b w:val="false"/>
                <w:bCs w:val="false"/>
                <w:sz w:val="19"/>
                <w:szCs w:val="19"/>
              </w:rPr>
              <w:t xml:space="preserve">Security Testing Platform</w:t>
            </w:r>
          </w:p>
        </w:tc>
        <w:tc>
          <w:tcPr>
            <w:tcW w:type="dxa" w:w="4426"/>
            <w:shd w:fill="F2F2F2" w:val="clear"/>
            <w:tcMar>
              <w:top w:type="dxa" w:w="90"/>
              <w:left w:type="dxa" w:w="120"/>
              <w:bottom w:type="dxa" w:w="90"/>
              <w:right w:type="dxa" w:w="120"/>
            </w:tcMar>
            <w:vAlign w:val="center"/>
          </w:tcPr>
          <w:p>
            <w:r>
              <w:rPr>
                <w:b w:val="false"/>
                <w:bCs w:val="false"/>
                <w:sz w:val="19"/>
                <w:szCs w:val="19"/>
              </w:rPr>
              <w:t xml:space="preserve">Kali Linux 2025.4 (192.168.56.106)</w:t>
            </w:r>
          </w:p>
        </w:tc>
      </w:tr>
    </w:tbl>
    <w:p>
      <w:pPr>
        <w:spacing w:after="200" w:before="60"/>
      </w:pPr>
      <w:r>
        <w:rPr>
          <w:i/>
          <w:iCs/>
          <w:color w:val="555555"/>
          <w:sz w:val="18"/>
          <w:szCs w:val="18"/>
        </w:rPr>
        <w:t xml:space="preserve">Table 1. In-scope assets.</w:t>
      </w:r>
    </w:p>
    <w:p>
      <w:pPr>
        <w:spacing w:after="180" w:line="300"/>
      </w:pPr>
      <w:r>
        <w:rPr>
          <w:i w:val="false"/>
          <w:iCs w:val="false"/>
          <w:sz w:val="21"/>
          <w:szCs w:val="21"/>
        </w:rPr>
        <w:t xml:space="preserve">Within ServiceNow, this environment is represented by a single Entity, "Home Lab Environment," classified as a Business Entity — the scoping unit against which every Control and Risk in this assessment is recorded.</w:t>
      </w:r>
    </w:p>
    <w:p>
      <w:pPr>
        <w:pStyle w:val="Heading1"/>
        <w:spacing w:after="160" w:before="320"/>
      </w:pPr>
      <w:r>
        <w:t xml:space="preserve">3. Framework Mapping</w:t>
      </w:r>
    </w:p>
    <w:p>
      <w:pPr>
        <w:pStyle w:val="Heading2"/>
        <w:spacing w:after="120" w:before="240"/>
      </w:pPr>
      <w:r>
        <w:t xml:space="preserve">3.1 Authority Document</w:t>
      </w:r>
    </w:p>
    <w:p>
      <w:pPr>
        <w:spacing w:after="180" w:line="300"/>
      </w:pPr>
      <w:r>
        <w:rPr>
          <w:i w:val="false"/>
          <w:iCs w:val="false"/>
          <w:sz w:val="21"/>
          <w:szCs w:val="21"/>
        </w:rPr>
        <w:t xml:space="preserve">ISO/IEC 27001:2022, the current edition of the international information security management standard, was selected as the assessment framework in preference to NIST CSF, on the basis of its broader recognition and its Annex A structure, which maps cleanly to defined, testable controls rather than higher-level functions. The standard is recorded in ServiceNow as Authority Document AD0020001.</w:t>
      </w:r>
    </w:p>
    <w:p>
      <w:pPr>
        <w:pStyle w:val="Heading2"/>
        <w:spacing w:after="120" w:before="240"/>
      </w:pPr>
      <w:r>
        <w:t xml:space="preserve">3.2 Citations and Control Objectives</w:t>
      </w:r>
    </w:p>
    <w:p>
      <w:pPr>
        <w:spacing w:after="180" w:line="300"/>
      </w:pPr>
      <w:r>
        <w:rPr>
          <w:i w:val="false"/>
          <w:iCs w:val="false"/>
          <w:sz w:val="21"/>
          <w:szCs w:val="21"/>
        </w:rPr>
        <w:t xml:space="preserve">Eleven citations were extracted from Annex A, spanning both the Organizational (A.5) and Technological (A.8) control themes, and grouped into five control objectives — each tied directly to one or more assets in the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26"/>
      </w:tblGrid>
      <w:tr>
        <w:trPr>
          <w:tblHeader/>
        </w:trPr>
        <w:tc>
          <w:tcPr>
            <w:tcW w:type="dxa" w:w="3800"/>
            <w:shd w:fill="1F3864" w:val="clear"/>
            <w:tcMar>
              <w:top w:type="dxa" w:w="90"/>
              <w:left w:type="dxa" w:w="120"/>
              <w:bottom w:type="dxa" w:w="90"/>
              <w:right w:type="dxa" w:w="120"/>
            </w:tcMar>
            <w:vAlign w:val="center"/>
          </w:tcPr>
          <w:p>
            <w:r>
              <w:rPr>
                <w:b/>
                <w:bCs/>
                <w:color w:val="FFFFFF"/>
                <w:sz w:val="19"/>
                <w:szCs w:val="19"/>
              </w:rPr>
              <w:t xml:space="preserve">Control Objective</w:t>
            </w:r>
          </w:p>
        </w:tc>
        <w:tc>
          <w:tcPr>
            <w:tcW w:type="dxa" w:w="2600"/>
            <w:shd w:fill="1F3864" w:val="clear"/>
            <w:tcMar>
              <w:top w:type="dxa" w:w="90"/>
              <w:left w:type="dxa" w:w="120"/>
              <w:bottom w:type="dxa" w:w="90"/>
              <w:right w:type="dxa" w:w="120"/>
            </w:tcMar>
            <w:vAlign w:val="center"/>
          </w:tcPr>
          <w:p>
            <w:r>
              <w:rPr>
                <w:b/>
                <w:bCs/>
                <w:color w:val="FFFFFF"/>
                <w:sz w:val="19"/>
                <w:szCs w:val="19"/>
              </w:rPr>
              <w:t xml:space="preserve">Citations (Annex A)</w:t>
            </w:r>
          </w:p>
        </w:tc>
        <w:tc>
          <w:tcPr>
            <w:tcW w:type="dxa" w:w="2626"/>
            <w:shd w:fill="1F3864" w:val="clear"/>
            <w:tcMar>
              <w:top w:type="dxa" w:w="90"/>
              <w:left w:type="dxa" w:w="120"/>
              <w:bottom w:type="dxa" w:w="90"/>
              <w:right w:type="dxa" w:w="120"/>
            </w:tcMar>
            <w:vAlign w:val="center"/>
          </w:tcPr>
          <w:p>
            <w:r>
              <w:rPr>
                <w:b/>
                <w:bCs/>
                <w:color w:val="FFFFFF"/>
                <w:sz w:val="19"/>
                <w:szCs w:val="19"/>
              </w:rPr>
              <w:t xml:space="preserve">Classification</w:t>
            </w:r>
          </w:p>
        </w:tc>
      </w:tr>
      <w:tr>
        <w:tc>
          <w:tcPr>
            <w:tcW w:type="dxa" w:w="3800"/>
            <w:tcMar>
              <w:top w:type="dxa" w:w="90"/>
              <w:left w:type="dxa" w:w="120"/>
              <w:bottom w:type="dxa" w:w="90"/>
              <w:right w:type="dxa" w:w="120"/>
            </w:tcMar>
            <w:vAlign w:val="center"/>
          </w:tcPr>
          <w:p>
            <w:r>
              <w:rPr>
                <w:b w:val="false"/>
                <w:bCs w:val="false"/>
                <w:sz w:val="19"/>
                <w:szCs w:val="19"/>
              </w:rPr>
              <w:t xml:space="preserve">Capture and review security event logs</w:t>
            </w:r>
          </w:p>
        </w:tc>
        <w:tc>
          <w:tcPr>
            <w:tcW w:type="dxa" w:w="2600"/>
            <w:tcMar>
              <w:top w:type="dxa" w:w="90"/>
              <w:left w:type="dxa" w:w="120"/>
              <w:bottom w:type="dxa" w:w="90"/>
              <w:right w:type="dxa" w:w="120"/>
            </w:tcMar>
            <w:vAlign w:val="center"/>
          </w:tcPr>
          <w:p>
            <w:r>
              <w:rPr>
                <w:b w:val="false"/>
                <w:bCs w:val="false"/>
                <w:sz w:val="19"/>
                <w:szCs w:val="19"/>
              </w:rPr>
              <w:t xml:space="preserve">A.8.15, A.8.16</w:t>
            </w:r>
          </w:p>
        </w:tc>
        <w:tc>
          <w:tcPr>
            <w:tcW w:type="dxa" w:w="2626"/>
            <w:tcMar>
              <w:top w:type="dxa" w:w="90"/>
              <w:left w:type="dxa" w:w="120"/>
              <w:bottom w:type="dxa" w:w="90"/>
              <w:right w:type="dxa" w:w="120"/>
            </w:tcMar>
            <w:vAlign w:val="center"/>
          </w:tcPr>
          <w:p>
            <w:r>
              <w:rPr>
                <w:b w:val="false"/>
                <w:bCs w:val="false"/>
                <w:sz w:val="19"/>
                <w:szCs w:val="19"/>
              </w:rPr>
              <w:t xml:space="preserve">Detective</w:t>
            </w:r>
          </w:p>
        </w:tc>
      </w:tr>
      <w:tr>
        <w:tc>
          <w:tcPr>
            <w:tcW w:type="dxa" w:w="3800"/>
            <w:shd w:fill="F2F2F2" w:val="clear"/>
            <w:tcMar>
              <w:top w:type="dxa" w:w="90"/>
              <w:left w:type="dxa" w:w="120"/>
              <w:bottom w:type="dxa" w:w="90"/>
              <w:right w:type="dxa" w:w="120"/>
            </w:tcMar>
            <w:vAlign w:val="center"/>
          </w:tcPr>
          <w:p>
            <w:r>
              <w:rPr>
                <w:b w:val="false"/>
                <w:bCs w:val="false"/>
                <w:sz w:val="19"/>
                <w:szCs w:val="19"/>
              </w:rPr>
              <w:t xml:space="preserve">Inventory assets and restrict access by role</w:t>
            </w:r>
          </w:p>
        </w:tc>
        <w:tc>
          <w:tcPr>
            <w:tcW w:type="dxa" w:w="2600"/>
            <w:shd w:fill="F2F2F2" w:val="clear"/>
            <w:tcMar>
              <w:top w:type="dxa" w:w="90"/>
              <w:left w:type="dxa" w:w="120"/>
              <w:bottom w:type="dxa" w:w="90"/>
              <w:right w:type="dxa" w:w="120"/>
            </w:tcMar>
            <w:vAlign w:val="center"/>
          </w:tcPr>
          <w:p>
            <w:r>
              <w:rPr>
                <w:b w:val="false"/>
                <w:bCs w:val="false"/>
                <w:sz w:val="19"/>
                <w:szCs w:val="19"/>
              </w:rPr>
              <w:t xml:space="preserve">A.5.9, A.5.15, A.5.18</w:t>
            </w:r>
          </w:p>
        </w:tc>
        <w:tc>
          <w:tcPr>
            <w:tcW w:type="dxa" w:w="2626"/>
            <w:shd w:fill="F2F2F2" w:val="clear"/>
            <w:tcMar>
              <w:top w:type="dxa" w:w="90"/>
              <w:left w:type="dxa" w:w="120"/>
              <w:bottom w:type="dxa" w:w="90"/>
              <w:right w:type="dxa" w:w="120"/>
            </w:tcMar>
            <w:vAlign w:val="center"/>
          </w:tcPr>
          <w:p>
            <w:r>
              <w:rPr>
                <w:b w:val="false"/>
                <w:bCs w:val="false"/>
                <w:sz w:val="19"/>
                <w:szCs w:val="19"/>
              </w:rPr>
              <w:t xml:space="preserve">Preventive</w:t>
            </w:r>
          </w:p>
        </w:tc>
      </w:tr>
      <w:tr>
        <w:tc>
          <w:tcPr>
            <w:tcW w:type="dxa" w:w="3800"/>
            <w:tcMar>
              <w:top w:type="dxa" w:w="90"/>
              <w:left w:type="dxa" w:w="120"/>
              <w:bottom w:type="dxa" w:w="90"/>
              <w:right w:type="dxa" w:w="120"/>
            </w:tcMar>
            <w:vAlign w:val="center"/>
          </w:tcPr>
          <w:p>
            <w:r>
              <w:rPr>
                <w:b w:val="false"/>
                <w:bCs w:val="false"/>
                <w:sz w:val="19"/>
                <w:szCs w:val="19"/>
              </w:rPr>
              <w:t xml:space="preserve">Protect endpoints against malicious code</w:t>
            </w:r>
          </w:p>
        </w:tc>
        <w:tc>
          <w:tcPr>
            <w:tcW w:type="dxa" w:w="2600"/>
            <w:tcMar>
              <w:top w:type="dxa" w:w="90"/>
              <w:left w:type="dxa" w:w="120"/>
              <w:bottom w:type="dxa" w:w="90"/>
              <w:right w:type="dxa" w:w="120"/>
            </w:tcMar>
            <w:vAlign w:val="center"/>
          </w:tcPr>
          <w:p>
            <w:r>
              <w:rPr>
                <w:b w:val="false"/>
                <w:bCs w:val="false"/>
                <w:sz w:val="19"/>
                <w:szCs w:val="19"/>
              </w:rPr>
              <w:t xml:space="preserve">A.8.1, A.8.7</w:t>
            </w:r>
          </w:p>
        </w:tc>
        <w:tc>
          <w:tcPr>
            <w:tcW w:type="dxa" w:w="2626"/>
            <w:tcMar>
              <w:top w:type="dxa" w:w="90"/>
              <w:left w:type="dxa" w:w="120"/>
              <w:bottom w:type="dxa" w:w="90"/>
              <w:right w:type="dxa" w:w="120"/>
            </w:tcMar>
            <w:vAlign w:val="center"/>
          </w:tcPr>
          <w:p>
            <w:r>
              <w:rPr>
                <w:b w:val="false"/>
                <w:bCs w:val="false"/>
                <w:sz w:val="19"/>
                <w:szCs w:val="19"/>
              </w:rPr>
              <w:t xml:space="preserve">Preventive</w:t>
            </w:r>
          </w:p>
        </w:tc>
      </w:tr>
      <w:tr>
        <w:tc>
          <w:tcPr>
            <w:tcW w:type="dxa" w:w="3800"/>
            <w:shd w:fill="F2F2F2" w:val="clear"/>
            <w:tcMar>
              <w:top w:type="dxa" w:w="90"/>
              <w:left w:type="dxa" w:w="120"/>
              <w:bottom w:type="dxa" w:w="90"/>
              <w:right w:type="dxa" w:w="120"/>
            </w:tcMar>
            <w:vAlign w:val="center"/>
          </w:tcPr>
          <w:p>
            <w:r>
              <w:rPr>
                <w:b w:val="false"/>
                <w:bCs w:val="false"/>
                <w:sz w:val="19"/>
                <w:szCs w:val="19"/>
              </w:rPr>
              <w:t xml:space="preserve">Manage vulnerabilities and configuration baselines</w:t>
            </w:r>
          </w:p>
        </w:tc>
        <w:tc>
          <w:tcPr>
            <w:tcW w:type="dxa" w:w="2600"/>
            <w:shd w:fill="F2F2F2" w:val="clear"/>
            <w:tcMar>
              <w:top w:type="dxa" w:w="90"/>
              <w:left w:type="dxa" w:w="120"/>
              <w:bottom w:type="dxa" w:w="90"/>
              <w:right w:type="dxa" w:w="120"/>
            </w:tcMar>
            <w:vAlign w:val="center"/>
          </w:tcPr>
          <w:p>
            <w:r>
              <w:rPr>
                <w:b w:val="false"/>
                <w:bCs w:val="false"/>
                <w:sz w:val="19"/>
                <w:szCs w:val="19"/>
              </w:rPr>
              <w:t xml:space="preserve">A.8.8, A.8.9</w:t>
            </w:r>
          </w:p>
        </w:tc>
        <w:tc>
          <w:tcPr>
            <w:tcW w:type="dxa" w:w="2626"/>
            <w:shd w:fill="F2F2F2" w:val="clear"/>
            <w:tcMar>
              <w:top w:type="dxa" w:w="90"/>
              <w:left w:type="dxa" w:w="120"/>
              <w:bottom w:type="dxa" w:w="90"/>
              <w:right w:type="dxa" w:w="120"/>
            </w:tcMar>
            <w:vAlign w:val="center"/>
          </w:tcPr>
          <w:p>
            <w:r>
              <w:rPr>
                <w:b w:val="false"/>
                <w:bCs w:val="false"/>
                <w:sz w:val="19"/>
                <w:szCs w:val="19"/>
              </w:rPr>
              <w:t xml:space="preserve">Preventive</w:t>
            </w:r>
          </w:p>
        </w:tc>
      </w:tr>
      <w:tr>
        <w:tc>
          <w:tcPr>
            <w:tcW w:type="dxa" w:w="3800"/>
            <w:tcMar>
              <w:top w:type="dxa" w:w="90"/>
              <w:left w:type="dxa" w:w="120"/>
              <w:bottom w:type="dxa" w:w="90"/>
              <w:right w:type="dxa" w:w="120"/>
            </w:tcMar>
            <w:vAlign w:val="center"/>
          </w:tcPr>
          <w:p>
            <w:r>
              <w:rPr>
                <w:b w:val="false"/>
                <w:bCs w:val="false"/>
                <w:sz w:val="19"/>
                <w:szCs w:val="19"/>
              </w:rPr>
              <w:t xml:space="preserve">Segment and secure the network</w:t>
            </w:r>
          </w:p>
        </w:tc>
        <w:tc>
          <w:tcPr>
            <w:tcW w:type="dxa" w:w="2600"/>
            <w:tcMar>
              <w:top w:type="dxa" w:w="90"/>
              <w:left w:type="dxa" w:w="120"/>
              <w:bottom w:type="dxa" w:w="90"/>
              <w:right w:type="dxa" w:w="120"/>
            </w:tcMar>
            <w:vAlign w:val="center"/>
          </w:tcPr>
          <w:p>
            <w:r>
              <w:rPr>
                <w:b w:val="false"/>
                <w:bCs w:val="false"/>
                <w:sz w:val="19"/>
                <w:szCs w:val="19"/>
              </w:rPr>
              <w:t xml:space="preserve">A.8.20, A.8.22</w:t>
            </w:r>
          </w:p>
        </w:tc>
        <w:tc>
          <w:tcPr>
            <w:tcW w:type="dxa" w:w="2626"/>
            <w:tcMar>
              <w:top w:type="dxa" w:w="90"/>
              <w:left w:type="dxa" w:w="120"/>
              <w:bottom w:type="dxa" w:w="90"/>
              <w:right w:type="dxa" w:w="120"/>
            </w:tcMar>
            <w:vAlign w:val="center"/>
          </w:tcPr>
          <w:p>
            <w:r>
              <w:rPr>
                <w:b w:val="false"/>
                <w:bCs w:val="false"/>
                <w:sz w:val="19"/>
                <w:szCs w:val="19"/>
              </w:rPr>
              <w:t xml:space="preserve">Preventive</w:t>
            </w:r>
          </w:p>
        </w:tc>
      </w:tr>
    </w:tbl>
    <w:p>
      <w:pPr>
        <w:spacing w:after="200" w:before="60"/>
      </w:pPr>
      <w:r>
        <w:rPr>
          <w:i/>
          <w:iCs/>
          <w:color w:val="555555"/>
          <w:sz w:val="18"/>
          <w:szCs w:val="18"/>
        </w:rPr>
        <w:t xml:space="preserve">Table 2. Control objectives and their supporting citations. Full citation text is provided in Appendix A.</w:t>
      </w:r>
    </w:p>
    <w:p>
      <w:pPr>
        <w:pStyle w:val="Heading1"/>
        <w:spacing w:after="160" w:before="320"/>
      </w:pPr>
      <w:r>
        <w:t xml:space="preserve">4. Risk Assessment</w:t>
      </w:r>
    </w:p>
    <w:p>
      <w:pPr>
        <w:pStyle w:val="Heading2"/>
        <w:spacing w:after="120" w:before="240"/>
      </w:pPr>
      <w:r>
        <w:t xml:space="preserve">4.1 Scoring Methodology</w:t>
      </w:r>
    </w:p>
    <w:p>
      <w:pPr>
        <w:spacing w:after="180" w:line="300"/>
      </w:pPr>
      <w:r>
        <w:rPr>
          <w:i w:val="false"/>
          <w:iCs w:val="false"/>
          <w:sz w:val="21"/>
          <w:szCs w:val="21"/>
        </w:rPr>
        <w:t xml:space="preserve">Risk was quantified using a Single Loss Expectancy (SLE) × Annualized Rate of Occurrence (ARO) model, producing an Annualized Loss Expectancy (ALE) for each risk — the platform's native scoring approach. SLE represents the estimated cost of a single occurrence of the risk; ARO represents the expected number of occurrences per year in the absence of the associated control's continued operation.</w:t>
      </w:r>
    </w:p>
    <w:p>
      <w:pPr>
        <w:pStyle w:val="Heading2"/>
        <w:spacing w:after="120" w:before="240"/>
      </w:pPr>
      <w:r>
        <w:t xml:space="preserve">4.2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300"/>
        <w:gridCol w:w="2426"/>
      </w:tblGrid>
      <w:tr>
        <w:trPr>
          <w:tblHeader/>
        </w:trPr>
        <w:tc>
          <w:tcPr>
            <w:tcW w:type="dxa" w:w="3800"/>
            <w:shd w:fill="1F3864" w:val="clear"/>
            <w:tcMar>
              <w:top w:type="dxa" w:w="90"/>
              <w:left w:type="dxa" w:w="120"/>
              <w:bottom w:type="dxa" w:w="90"/>
              <w:right w:type="dxa" w:w="120"/>
            </w:tcMar>
            <w:vAlign w:val="center"/>
          </w:tcPr>
          <w:p>
            <w:r>
              <w:rPr>
                <w:b/>
                <w:bCs/>
                <w:color w:val="FFFFFF"/>
                <w:sz w:val="19"/>
                <w:szCs w:val="19"/>
              </w:rPr>
              <w:t xml:space="preserve">Risk</w:t>
            </w:r>
          </w:p>
        </w:tc>
        <w:tc>
          <w:tcPr>
            <w:tcW w:type="dxa" w:w="1500"/>
            <w:shd w:fill="1F3864" w:val="clear"/>
            <w:tcMar>
              <w:top w:type="dxa" w:w="90"/>
              <w:left w:type="dxa" w:w="120"/>
              <w:bottom w:type="dxa" w:w="90"/>
              <w:right w:type="dxa" w:w="120"/>
            </w:tcMar>
            <w:vAlign w:val="center"/>
          </w:tcPr>
          <w:p>
            <w:r>
              <w:rPr>
                <w:b/>
                <w:bCs/>
                <w:color w:val="FFFFFF"/>
                <w:sz w:val="19"/>
                <w:szCs w:val="19"/>
              </w:rPr>
              <w:t xml:space="preserve">SLE</w:t>
            </w:r>
          </w:p>
        </w:tc>
        <w:tc>
          <w:tcPr>
            <w:tcW w:type="dxa" w:w="1300"/>
            <w:shd w:fill="1F3864" w:val="clear"/>
            <w:tcMar>
              <w:top w:type="dxa" w:w="90"/>
              <w:left w:type="dxa" w:w="120"/>
              <w:bottom w:type="dxa" w:w="90"/>
              <w:right w:type="dxa" w:w="120"/>
            </w:tcMar>
            <w:vAlign w:val="center"/>
          </w:tcPr>
          <w:p>
            <w:r>
              <w:rPr>
                <w:b/>
                <w:bCs/>
                <w:color w:val="FFFFFF"/>
                <w:sz w:val="19"/>
                <w:szCs w:val="19"/>
              </w:rPr>
              <w:t xml:space="preserve">ARO</w:t>
            </w:r>
          </w:p>
        </w:tc>
        <w:tc>
          <w:tcPr>
            <w:tcW w:type="dxa" w:w="2426"/>
            <w:shd w:fill="1F3864" w:val="clear"/>
            <w:tcMar>
              <w:top w:type="dxa" w:w="90"/>
              <w:left w:type="dxa" w:w="120"/>
              <w:bottom w:type="dxa" w:w="90"/>
              <w:right w:type="dxa" w:w="120"/>
            </w:tcMar>
            <w:vAlign w:val="center"/>
          </w:tcPr>
          <w:p>
            <w:r>
              <w:rPr>
                <w:b/>
                <w:bCs/>
                <w:color w:val="FFFFFF"/>
                <w:sz w:val="19"/>
                <w:szCs w:val="19"/>
              </w:rPr>
              <w:t xml:space="preserve">ALE</w:t>
            </w:r>
          </w:p>
        </w:tc>
      </w:tr>
      <w:tr>
        <w:tc>
          <w:tcPr>
            <w:tcW w:type="dxa" w:w="3800"/>
            <w:tcMar>
              <w:top w:type="dxa" w:w="90"/>
              <w:left w:type="dxa" w:w="120"/>
              <w:bottom w:type="dxa" w:w="90"/>
              <w:right w:type="dxa" w:w="120"/>
            </w:tcMar>
            <w:vAlign w:val="center"/>
          </w:tcPr>
          <w:p>
            <w:r>
              <w:rPr>
                <w:b w:val="false"/>
                <w:bCs w:val="false"/>
                <w:sz w:val="19"/>
                <w:szCs w:val="19"/>
              </w:rPr>
              <w:t xml:space="preserve">Undetected security events due to logging gaps</w:t>
            </w:r>
          </w:p>
        </w:tc>
        <w:tc>
          <w:tcPr>
            <w:tcW w:type="dxa" w:w="1500"/>
            <w:tcMar>
              <w:top w:type="dxa" w:w="90"/>
              <w:left w:type="dxa" w:w="120"/>
              <w:bottom w:type="dxa" w:w="90"/>
              <w:right w:type="dxa" w:w="120"/>
            </w:tcMar>
            <w:vAlign w:val="center"/>
          </w:tcPr>
          <w:p>
            <w:r>
              <w:rPr>
                <w:b w:val="false"/>
                <w:bCs w:val="false"/>
                <w:sz w:val="19"/>
                <w:szCs w:val="19"/>
              </w:rPr>
              <w:t xml:space="preserve">$500</w:t>
            </w:r>
          </w:p>
        </w:tc>
        <w:tc>
          <w:tcPr>
            <w:tcW w:type="dxa" w:w="1300"/>
            <w:tcMar>
              <w:top w:type="dxa" w:w="90"/>
              <w:left w:type="dxa" w:w="120"/>
              <w:bottom w:type="dxa" w:w="90"/>
              <w:right w:type="dxa" w:w="120"/>
            </w:tcMar>
            <w:vAlign w:val="center"/>
          </w:tcPr>
          <w:p>
            <w:r>
              <w:rPr>
                <w:b w:val="false"/>
                <w:bCs w:val="false"/>
                <w:sz w:val="19"/>
                <w:szCs w:val="19"/>
              </w:rPr>
              <w:t xml:space="preserve">2</w:t>
            </w:r>
          </w:p>
        </w:tc>
        <w:tc>
          <w:tcPr>
            <w:tcW w:type="dxa" w:w="2426"/>
            <w:tcMar>
              <w:top w:type="dxa" w:w="90"/>
              <w:left w:type="dxa" w:w="120"/>
              <w:bottom w:type="dxa" w:w="90"/>
              <w:right w:type="dxa" w:w="120"/>
            </w:tcMar>
            <w:vAlign w:val="center"/>
          </w:tcPr>
          <w:p>
            <w:r>
              <w:rPr>
                <w:b w:val="false"/>
                <w:bCs w:val="false"/>
                <w:sz w:val="19"/>
                <w:szCs w:val="19"/>
              </w:rPr>
              <w:t xml:space="preserve">$1,000</w:t>
            </w:r>
          </w:p>
        </w:tc>
      </w:tr>
      <w:tr>
        <w:tc>
          <w:tcPr>
            <w:tcW w:type="dxa" w:w="3800"/>
            <w:shd w:fill="F2F2F2" w:val="clear"/>
            <w:tcMar>
              <w:top w:type="dxa" w:w="90"/>
              <w:left w:type="dxa" w:w="120"/>
              <w:bottom w:type="dxa" w:w="90"/>
              <w:right w:type="dxa" w:w="120"/>
            </w:tcMar>
            <w:vAlign w:val="center"/>
          </w:tcPr>
          <w:p>
            <w:r>
              <w:rPr>
                <w:b w:val="false"/>
                <w:bCs w:val="false"/>
                <w:sz w:val="19"/>
                <w:szCs w:val="19"/>
              </w:rPr>
              <w:t xml:space="preserve">Excess access rights retained on AD accounts</w:t>
            </w:r>
          </w:p>
        </w:tc>
        <w:tc>
          <w:tcPr>
            <w:tcW w:type="dxa" w:w="1500"/>
            <w:shd w:fill="F2F2F2" w:val="clear"/>
            <w:tcMar>
              <w:top w:type="dxa" w:w="90"/>
              <w:left w:type="dxa" w:w="120"/>
              <w:bottom w:type="dxa" w:w="90"/>
              <w:right w:type="dxa" w:w="120"/>
            </w:tcMar>
            <w:vAlign w:val="center"/>
          </w:tcPr>
          <w:p>
            <w:r>
              <w:rPr>
                <w:b w:val="false"/>
                <w:bCs w:val="false"/>
                <w:sz w:val="19"/>
                <w:szCs w:val="19"/>
              </w:rPr>
              <w:t xml:space="preserve">$300</w:t>
            </w:r>
          </w:p>
        </w:tc>
        <w:tc>
          <w:tcPr>
            <w:tcW w:type="dxa" w:w="1300"/>
            <w:shd w:fill="F2F2F2" w:val="clear"/>
            <w:tcMar>
              <w:top w:type="dxa" w:w="90"/>
              <w:left w:type="dxa" w:w="120"/>
              <w:bottom w:type="dxa" w:w="90"/>
              <w:right w:type="dxa" w:w="120"/>
            </w:tcMar>
            <w:vAlign w:val="center"/>
          </w:tcPr>
          <w:p>
            <w:r>
              <w:rPr>
                <w:b w:val="false"/>
                <w:bCs w:val="false"/>
                <w:sz w:val="19"/>
                <w:szCs w:val="19"/>
              </w:rPr>
              <w:t xml:space="preserve">1</w:t>
            </w:r>
          </w:p>
        </w:tc>
        <w:tc>
          <w:tcPr>
            <w:tcW w:type="dxa" w:w="2426"/>
            <w:shd w:fill="F2F2F2" w:val="clear"/>
            <w:tcMar>
              <w:top w:type="dxa" w:w="90"/>
              <w:left w:type="dxa" w:w="120"/>
              <w:bottom w:type="dxa" w:w="90"/>
              <w:right w:type="dxa" w:w="120"/>
            </w:tcMar>
            <w:vAlign w:val="center"/>
          </w:tcPr>
          <w:p>
            <w:r>
              <w:rPr>
                <w:b w:val="false"/>
                <w:bCs w:val="false"/>
                <w:sz w:val="19"/>
                <w:szCs w:val="19"/>
              </w:rPr>
              <w:t xml:space="preserve">$300</w:t>
            </w:r>
          </w:p>
        </w:tc>
      </w:tr>
      <w:tr>
        <w:tc>
          <w:tcPr>
            <w:tcW w:type="dxa" w:w="3800"/>
            <w:tcMar>
              <w:top w:type="dxa" w:w="90"/>
              <w:left w:type="dxa" w:w="120"/>
              <w:bottom w:type="dxa" w:w="90"/>
              <w:right w:type="dxa" w:w="120"/>
            </w:tcMar>
            <w:vAlign w:val="center"/>
          </w:tcPr>
          <w:p>
            <w:r>
              <w:rPr>
                <w:b w:val="false"/>
                <w:bCs w:val="false"/>
                <w:sz w:val="19"/>
                <w:szCs w:val="19"/>
              </w:rPr>
              <w:t xml:space="preserve">Malware executes undetected on an endpoint</w:t>
            </w:r>
          </w:p>
        </w:tc>
        <w:tc>
          <w:tcPr>
            <w:tcW w:type="dxa" w:w="1500"/>
            <w:tcMar>
              <w:top w:type="dxa" w:w="90"/>
              <w:left w:type="dxa" w:w="120"/>
              <w:bottom w:type="dxa" w:w="90"/>
              <w:right w:type="dxa" w:w="120"/>
            </w:tcMar>
            <w:vAlign w:val="center"/>
          </w:tcPr>
          <w:p>
            <w:r>
              <w:rPr>
                <w:b w:val="false"/>
                <w:bCs w:val="false"/>
                <w:sz w:val="19"/>
                <w:szCs w:val="19"/>
              </w:rPr>
              <w:t xml:space="preserve">$800</w:t>
            </w:r>
          </w:p>
        </w:tc>
        <w:tc>
          <w:tcPr>
            <w:tcW w:type="dxa" w:w="1300"/>
            <w:tcMar>
              <w:top w:type="dxa" w:w="90"/>
              <w:left w:type="dxa" w:w="120"/>
              <w:bottom w:type="dxa" w:w="90"/>
              <w:right w:type="dxa" w:w="120"/>
            </w:tcMar>
            <w:vAlign w:val="center"/>
          </w:tcPr>
          <w:p>
            <w:r>
              <w:rPr>
                <w:b w:val="false"/>
                <w:bCs w:val="false"/>
                <w:sz w:val="19"/>
                <w:szCs w:val="19"/>
              </w:rPr>
              <w:t xml:space="preserve">2</w:t>
            </w:r>
          </w:p>
        </w:tc>
        <w:tc>
          <w:tcPr>
            <w:tcW w:type="dxa" w:w="2426"/>
            <w:tcMar>
              <w:top w:type="dxa" w:w="90"/>
              <w:left w:type="dxa" w:w="120"/>
              <w:bottom w:type="dxa" w:w="90"/>
              <w:right w:type="dxa" w:w="120"/>
            </w:tcMar>
            <w:vAlign w:val="center"/>
          </w:tcPr>
          <w:p>
            <w:r>
              <w:rPr>
                <w:b w:val="false"/>
                <w:bCs w:val="false"/>
                <w:sz w:val="19"/>
                <w:szCs w:val="19"/>
              </w:rPr>
              <w:t xml:space="preserve">$1,600</w:t>
            </w:r>
          </w:p>
        </w:tc>
      </w:tr>
      <w:tr>
        <w:tc>
          <w:tcPr>
            <w:tcW w:type="dxa" w:w="3800"/>
            <w:shd w:fill="F2F2F2" w:val="clear"/>
            <w:tcMar>
              <w:top w:type="dxa" w:w="90"/>
              <w:left w:type="dxa" w:w="120"/>
              <w:bottom w:type="dxa" w:w="90"/>
              <w:right w:type="dxa" w:w="120"/>
            </w:tcMar>
            <w:vAlign w:val="center"/>
          </w:tcPr>
          <w:p>
            <w:r>
              <w:rPr>
                <w:b w:val="false"/>
                <w:bCs w:val="false"/>
                <w:sz w:val="19"/>
                <w:szCs w:val="19"/>
              </w:rPr>
              <w:t xml:space="preserve">Unpatched vulnerability exploited on a lab VM</w:t>
            </w:r>
          </w:p>
        </w:tc>
        <w:tc>
          <w:tcPr>
            <w:tcW w:type="dxa" w:w="1500"/>
            <w:shd w:fill="F2F2F2" w:val="clear"/>
            <w:tcMar>
              <w:top w:type="dxa" w:w="90"/>
              <w:left w:type="dxa" w:w="120"/>
              <w:bottom w:type="dxa" w:w="90"/>
              <w:right w:type="dxa" w:w="120"/>
            </w:tcMar>
            <w:vAlign w:val="center"/>
          </w:tcPr>
          <w:p>
            <w:r>
              <w:rPr>
                <w:b w:val="false"/>
                <w:bCs w:val="false"/>
                <w:sz w:val="19"/>
                <w:szCs w:val="19"/>
              </w:rPr>
              <w:t xml:space="preserve">$1,000</w:t>
            </w:r>
          </w:p>
        </w:tc>
        <w:tc>
          <w:tcPr>
            <w:tcW w:type="dxa" w:w="1300"/>
            <w:shd w:fill="F2F2F2" w:val="clear"/>
            <w:tcMar>
              <w:top w:type="dxa" w:w="90"/>
              <w:left w:type="dxa" w:w="120"/>
              <w:bottom w:type="dxa" w:w="90"/>
              <w:right w:type="dxa" w:w="120"/>
            </w:tcMar>
            <w:vAlign w:val="center"/>
          </w:tcPr>
          <w:p>
            <w:r>
              <w:rPr>
                <w:b w:val="false"/>
                <w:bCs w:val="false"/>
                <w:sz w:val="19"/>
                <w:szCs w:val="19"/>
              </w:rPr>
              <w:t xml:space="preserve">1</w:t>
            </w:r>
          </w:p>
        </w:tc>
        <w:tc>
          <w:tcPr>
            <w:tcW w:type="dxa" w:w="2426"/>
            <w:shd w:fill="F2F2F2" w:val="clear"/>
            <w:tcMar>
              <w:top w:type="dxa" w:w="90"/>
              <w:left w:type="dxa" w:w="120"/>
              <w:bottom w:type="dxa" w:w="90"/>
              <w:right w:type="dxa" w:w="120"/>
            </w:tcMar>
            <w:vAlign w:val="center"/>
          </w:tcPr>
          <w:p>
            <w:r>
              <w:rPr>
                <w:b w:val="false"/>
                <w:bCs w:val="false"/>
                <w:sz w:val="19"/>
                <w:szCs w:val="19"/>
              </w:rPr>
              <w:t xml:space="preserve">$1,000</w:t>
            </w:r>
          </w:p>
        </w:tc>
      </w:tr>
      <w:tr>
        <w:tc>
          <w:tcPr>
            <w:tcW w:type="dxa" w:w="3800"/>
            <w:tcMar>
              <w:top w:type="dxa" w:w="90"/>
              <w:left w:type="dxa" w:w="120"/>
              <w:bottom w:type="dxa" w:w="90"/>
              <w:right w:type="dxa" w:w="120"/>
            </w:tcMar>
            <w:vAlign w:val="center"/>
          </w:tcPr>
          <w:p>
            <w:r>
              <w:rPr>
                <w:b w:val="false"/>
                <w:bCs w:val="false"/>
                <w:sz w:val="19"/>
                <w:szCs w:val="19"/>
              </w:rPr>
              <w:t xml:space="preserve">Weak network segmentation allows lateral movement</w:t>
            </w:r>
          </w:p>
        </w:tc>
        <w:tc>
          <w:tcPr>
            <w:tcW w:type="dxa" w:w="1500"/>
            <w:tcMar>
              <w:top w:type="dxa" w:w="90"/>
              <w:left w:type="dxa" w:w="120"/>
              <w:bottom w:type="dxa" w:w="90"/>
              <w:right w:type="dxa" w:w="120"/>
            </w:tcMar>
            <w:vAlign w:val="center"/>
          </w:tcPr>
          <w:p>
            <w:r>
              <w:rPr>
                <w:b w:val="false"/>
                <w:bCs w:val="false"/>
                <w:sz w:val="19"/>
                <w:szCs w:val="19"/>
              </w:rPr>
              <w:t xml:space="preserve">$600</w:t>
            </w:r>
          </w:p>
        </w:tc>
        <w:tc>
          <w:tcPr>
            <w:tcW w:type="dxa" w:w="1300"/>
            <w:tcMar>
              <w:top w:type="dxa" w:w="90"/>
              <w:left w:type="dxa" w:w="120"/>
              <w:bottom w:type="dxa" w:w="90"/>
              <w:right w:type="dxa" w:w="120"/>
            </w:tcMar>
            <w:vAlign w:val="center"/>
          </w:tcPr>
          <w:p>
            <w:r>
              <w:rPr>
                <w:b w:val="false"/>
                <w:bCs w:val="false"/>
                <w:sz w:val="19"/>
                <w:szCs w:val="19"/>
              </w:rPr>
              <w:t xml:space="preserve">1</w:t>
            </w:r>
          </w:p>
        </w:tc>
        <w:tc>
          <w:tcPr>
            <w:tcW w:type="dxa" w:w="2426"/>
            <w:tcMar>
              <w:top w:type="dxa" w:w="90"/>
              <w:left w:type="dxa" w:w="120"/>
              <w:bottom w:type="dxa" w:w="90"/>
              <w:right w:type="dxa" w:w="120"/>
            </w:tcMar>
            <w:vAlign w:val="center"/>
          </w:tcPr>
          <w:p>
            <w:r>
              <w:rPr>
                <w:b w:val="false"/>
                <w:bCs w:val="false"/>
                <w:sz w:val="19"/>
                <w:szCs w:val="19"/>
              </w:rPr>
              <w:t xml:space="preserve">$600</w:t>
            </w:r>
          </w:p>
        </w:tc>
      </w:tr>
    </w:tbl>
    <w:p>
      <w:pPr>
        <w:spacing w:after="200" w:before="60"/>
      </w:pPr>
      <w:r>
        <w:rPr>
          <w:i/>
          <w:iCs/>
          <w:color w:val="555555"/>
          <w:sz w:val="18"/>
          <w:szCs w:val="18"/>
        </w:rPr>
        <w:t xml:space="preserve">Table 3. Identified risks with quantitative scoring.</w:t>
      </w:r>
    </w:p>
    <w:p>
      <w:pPr>
        <w:pStyle w:val="Heading2"/>
        <w:spacing w:after="120" w:before="240"/>
      </w:pPr>
      <w:r>
        <w:t xml:space="preserve">4.3 Scoring Calibration</w:t>
      </w:r>
    </w:p>
    <w:p>
      <w:pPr>
        <w:spacing w:after="180" w:line="300"/>
      </w:pPr>
      <w:r>
        <w:rPr>
          <w:i w:val="false"/>
          <w:iCs w:val="false"/>
          <w:sz w:val="21"/>
          <w:szCs w:val="21"/>
        </w:rPr>
        <w:t xml:space="preserve">The assessment instance's built-in risk scoring criteria are calibrated for enterprise-scale operations — the "Very Low" severity band alone extends to $1,000,000 in annualized loss expectancy, a threshold shared with the platform's bundled SOX compliance demonstration data (Accounts Payable, Fixed Assets, and related process areas). Every risk in this assessment scored "Very Low" as a direct consequence of this scale mismatch, not because the underlying exposure is immaterial to a four-asset environment.</w:t>
      </w:r>
    </w:p>
    <w:p>
      <w:pPr>
        <w:spacing w:after="180" w:line="300"/>
      </w:pPr>
      <w:r>
        <w:rPr>
          <w:i w:val="false"/>
          <w:iCs w:val="false"/>
          <w:sz w:val="21"/>
          <w:szCs w:val="21"/>
        </w:rPr>
        <w:t xml:space="preserve">The dollar figures assigned to each risk remain meaningful in relative terms — differentiating, for example, a $1,600 annualized exposure for undetected malware from a $300 exposure tied to access-review lapses — and would form the basis for rescaled criteria in a deployment sized to the actual environment.</w:t>
      </w:r>
    </w:p>
    <w:p>
      <w:pPr>
        <w:pStyle w:val="Heading1"/>
        <w:spacing w:after="160" w:before="320"/>
      </w:pPr>
      <w:r>
        <w:t xml:space="preserve">5. Controls and Treatment</w:t>
      </w:r>
    </w:p>
    <w:p>
      <w:pPr>
        <w:pStyle w:val="Heading2"/>
        <w:spacing w:after="120" w:before="240"/>
      </w:pPr>
      <w:r>
        <w:t xml:space="preserve">5.1 Control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1926"/>
      </w:tblGrid>
      <w:tr>
        <w:trPr>
          <w:tblHeader/>
        </w:trPr>
        <w:tc>
          <w:tcPr>
            <w:tcW w:type="dxa" w:w="3800"/>
            <w:shd w:fill="1F3864" w:val="clear"/>
            <w:tcMar>
              <w:top w:type="dxa" w:w="90"/>
              <w:left w:type="dxa" w:w="120"/>
              <w:bottom w:type="dxa" w:w="90"/>
              <w:right w:type="dxa" w:w="120"/>
            </w:tcMar>
            <w:vAlign w:val="center"/>
          </w:tcPr>
          <w:p>
            <w:r>
              <w:rPr>
                <w:b/>
                <w:bCs/>
                <w:color w:val="FFFFFF"/>
                <w:sz w:val="19"/>
                <w:szCs w:val="19"/>
              </w:rPr>
              <w:t xml:space="preserve">Control</w:t>
            </w:r>
          </w:p>
        </w:tc>
        <w:tc>
          <w:tcPr>
            <w:tcW w:type="dxa" w:w="3300"/>
            <w:shd w:fill="1F3864" w:val="clear"/>
            <w:tcMar>
              <w:top w:type="dxa" w:w="90"/>
              <w:left w:type="dxa" w:w="120"/>
              <w:bottom w:type="dxa" w:w="90"/>
              <w:right w:type="dxa" w:w="120"/>
            </w:tcMar>
            <w:vAlign w:val="center"/>
          </w:tcPr>
          <w:p>
            <w:r>
              <w:rPr>
                <w:b/>
                <w:bCs/>
                <w:color w:val="FFFFFF"/>
                <w:sz w:val="19"/>
                <w:szCs w:val="19"/>
              </w:rPr>
              <w:t xml:space="preserve">Objective</w:t>
            </w:r>
          </w:p>
        </w:tc>
        <w:tc>
          <w:tcPr>
            <w:tcW w:type="dxa" w:w="1926"/>
            <w:shd w:fill="1F3864" w:val="clear"/>
            <w:tcMar>
              <w:top w:type="dxa" w:w="90"/>
              <w:left w:type="dxa" w:w="120"/>
              <w:bottom w:type="dxa" w:w="90"/>
              <w:right w:type="dxa" w:w="120"/>
            </w:tcMar>
            <w:vAlign w:val="center"/>
          </w:tcPr>
          <w:p>
            <w:r>
              <w:rPr>
                <w:b/>
                <w:bCs/>
                <w:color w:val="FFFFFF"/>
                <w:sz w:val="19"/>
                <w:szCs w:val="19"/>
              </w:rPr>
              <w:t xml:space="preserve">Classification</w:t>
            </w:r>
          </w:p>
        </w:tc>
      </w:tr>
      <w:tr>
        <w:tc>
          <w:tcPr>
            <w:tcW w:type="dxa" w:w="3800"/>
            <w:tcMar>
              <w:top w:type="dxa" w:w="90"/>
              <w:left w:type="dxa" w:w="120"/>
              <w:bottom w:type="dxa" w:w="90"/>
              <w:right w:type="dxa" w:w="120"/>
            </w:tcMar>
            <w:vAlign w:val="center"/>
          </w:tcPr>
          <w:p>
            <w:r>
              <w:rPr>
                <w:b w:val="false"/>
                <w:bCs w:val="false"/>
                <w:sz w:val="19"/>
                <w:szCs w:val="19"/>
              </w:rPr>
              <w:t xml:space="preserve">Review Splunk security event logs (CTRL0020004)</w:t>
            </w:r>
          </w:p>
        </w:tc>
        <w:tc>
          <w:tcPr>
            <w:tcW w:type="dxa" w:w="3300"/>
            <w:tcMar>
              <w:top w:type="dxa" w:w="90"/>
              <w:left w:type="dxa" w:w="120"/>
              <w:bottom w:type="dxa" w:w="90"/>
              <w:right w:type="dxa" w:w="120"/>
            </w:tcMar>
            <w:vAlign w:val="center"/>
          </w:tcPr>
          <w:p>
            <w:r>
              <w:rPr>
                <w:b w:val="false"/>
                <w:bCs w:val="false"/>
                <w:sz w:val="19"/>
                <w:szCs w:val="19"/>
              </w:rPr>
              <w:t xml:space="preserve">Capture and review security event logs</w:t>
            </w:r>
          </w:p>
        </w:tc>
        <w:tc>
          <w:tcPr>
            <w:tcW w:type="dxa" w:w="1926"/>
            <w:tcMar>
              <w:top w:type="dxa" w:w="90"/>
              <w:left w:type="dxa" w:w="120"/>
              <w:bottom w:type="dxa" w:w="90"/>
              <w:right w:type="dxa" w:w="120"/>
            </w:tcMar>
            <w:vAlign w:val="center"/>
          </w:tcPr>
          <w:p>
            <w:r>
              <w:rPr>
                <w:b w:val="false"/>
                <w:bCs w:val="false"/>
                <w:sz w:val="19"/>
                <w:szCs w:val="19"/>
              </w:rPr>
              <w:t xml:space="preserve">Detective</w:t>
            </w:r>
          </w:p>
        </w:tc>
      </w:tr>
      <w:tr>
        <w:tc>
          <w:tcPr>
            <w:tcW w:type="dxa" w:w="3800"/>
            <w:shd w:fill="F2F2F2" w:val="clear"/>
            <w:tcMar>
              <w:top w:type="dxa" w:w="90"/>
              <w:left w:type="dxa" w:w="120"/>
              <w:bottom w:type="dxa" w:w="90"/>
              <w:right w:type="dxa" w:w="120"/>
            </w:tcMar>
            <w:vAlign w:val="center"/>
          </w:tcPr>
          <w:p>
            <w:r>
              <w:rPr>
                <w:b w:val="false"/>
                <w:bCs w:val="false"/>
                <w:sz w:val="19"/>
                <w:szCs w:val="19"/>
              </w:rPr>
              <w:t xml:space="preserve">Review AD access rights quarterly (CTRL0020006)</w:t>
            </w:r>
          </w:p>
        </w:tc>
        <w:tc>
          <w:tcPr>
            <w:tcW w:type="dxa" w:w="3300"/>
            <w:shd w:fill="F2F2F2" w:val="clear"/>
            <w:tcMar>
              <w:top w:type="dxa" w:w="90"/>
              <w:left w:type="dxa" w:w="120"/>
              <w:bottom w:type="dxa" w:w="90"/>
              <w:right w:type="dxa" w:w="120"/>
            </w:tcMar>
            <w:vAlign w:val="center"/>
          </w:tcPr>
          <w:p>
            <w:r>
              <w:rPr>
                <w:b w:val="false"/>
                <w:bCs w:val="false"/>
                <w:sz w:val="19"/>
                <w:szCs w:val="19"/>
              </w:rPr>
              <w:t xml:space="preserve">Inventory assets and restrict access by role</w:t>
            </w:r>
          </w:p>
        </w:tc>
        <w:tc>
          <w:tcPr>
            <w:tcW w:type="dxa" w:w="1926"/>
            <w:shd w:fill="F2F2F2" w:val="clear"/>
            <w:tcMar>
              <w:top w:type="dxa" w:w="90"/>
              <w:left w:type="dxa" w:w="120"/>
              <w:bottom w:type="dxa" w:w="90"/>
              <w:right w:type="dxa" w:w="120"/>
            </w:tcMar>
            <w:vAlign w:val="center"/>
          </w:tcPr>
          <w:p>
            <w:r>
              <w:rPr>
                <w:b w:val="false"/>
                <w:bCs w:val="false"/>
                <w:sz w:val="19"/>
                <w:szCs w:val="19"/>
              </w:rPr>
              <w:t xml:space="preserve">Preventive</w:t>
            </w:r>
          </w:p>
        </w:tc>
      </w:tr>
      <w:tr>
        <w:tc>
          <w:tcPr>
            <w:tcW w:type="dxa" w:w="3800"/>
            <w:tcMar>
              <w:top w:type="dxa" w:w="90"/>
              <w:left w:type="dxa" w:w="120"/>
              <w:bottom w:type="dxa" w:w="90"/>
              <w:right w:type="dxa" w:w="120"/>
            </w:tcMar>
            <w:vAlign w:val="center"/>
          </w:tcPr>
          <w:p>
            <w:r>
              <w:rPr>
                <w:b w:val="false"/>
                <w:bCs w:val="false"/>
                <w:sz w:val="19"/>
                <w:szCs w:val="19"/>
              </w:rPr>
              <w:t xml:space="preserve">Verify Defender status on endpoints (CTRL0020005)</w:t>
            </w:r>
          </w:p>
        </w:tc>
        <w:tc>
          <w:tcPr>
            <w:tcW w:type="dxa" w:w="3300"/>
            <w:tcMar>
              <w:top w:type="dxa" w:w="90"/>
              <w:left w:type="dxa" w:w="120"/>
              <w:bottom w:type="dxa" w:w="90"/>
              <w:right w:type="dxa" w:w="120"/>
            </w:tcMar>
            <w:vAlign w:val="center"/>
          </w:tcPr>
          <w:p>
            <w:r>
              <w:rPr>
                <w:b w:val="false"/>
                <w:bCs w:val="false"/>
                <w:sz w:val="19"/>
                <w:szCs w:val="19"/>
              </w:rPr>
              <w:t xml:space="preserve">Protect endpoints against malicious code</w:t>
            </w:r>
          </w:p>
        </w:tc>
        <w:tc>
          <w:tcPr>
            <w:tcW w:type="dxa" w:w="1926"/>
            <w:tcMar>
              <w:top w:type="dxa" w:w="90"/>
              <w:left w:type="dxa" w:w="120"/>
              <w:bottom w:type="dxa" w:w="90"/>
              <w:right w:type="dxa" w:w="120"/>
            </w:tcMar>
            <w:vAlign w:val="center"/>
          </w:tcPr>
          <w:p>
            <w:r>
              <w:rPr>
                <w:b w:val="false"/>
                <w:bCs w:val="false"/>
                <w:sz w:val="19"/>
                <w:szCs w:val="19"/>
              </w:rPr>
              <w:t xml:space="preserve">Preventive</w:t>
            </w:r>
          </w:p>
        </w:tc>
      </w:tr>
      <w:tr>
        <w:tc>
          <w:tcPr>
            <w:tcW w:type="dxa" w:w="3800"/>
            <w:shd w:fill="F2F2F2" w:val="clear"/>
            <w:tcMar>
              <w:top w:type="dxa" w:w="90"/>
              <w:left w:type="dxa" w:w="120"/>
              <w:bottom w:type="dxa" w:w="90"/>
              <w:right w:type="dxa" w:w="120"/>
            </w:tcMar>
            <w:vAlign w:val="center"/>
          </w:tcPr>
          <w:p>
            <w:r>
              <w:rPr>
                <w:b w:val="false"/>
                <w:bCs w:val="false"/>
                <w:sz w:val="19"/>
                <w:szCs w:val="19"/>
              </w:rPr>
              <w:t xml:space="preserve">Scan lab VMs for vulnerabilities (CTRL0020008)</w:t>
            </w:r>
          </w:p>
        </w:tc>
        <w:tc>
          <w:tcPr>
            <w:tcW w:type="dxa" w:w="3300"/>
            <w:shd w:fill="F2F2F2" w:val="clear"/>
            <w:tcMar>
              <w:top w:type="dxa" w:w="90"/>
              <w:left w:type="dxa" w:w="120"/>
              <w:bottom w:type="dxa" w:w="90"/>
              <w:right w:type="dxa" w:w="120"/>
            </w:tcMar>
            <w:vAlign w:val="center"/>
          </w:tcPr>
          <w:p>
            <w:r>
              <w:rPr>
                <w:b w:val="false"/>
                <w:bCs w:val="false"/>
                <w:sz w:val="19"/>
                <w:szCs w:val="19"/>
              </w:rPr>
              <w:t xml:space="preserve">Manage vulnerabilities and configuration baselines</w:t>
            </w:r>
          </w:p>
        </w:tc>
        <w:tc>
          <w:tcPr>
            <w:tcW w:type="dxa" w:w="1926"/>
            <w:shd w:fill="F2F2F2" w:val="clear"/>
            <w:tcMar>
              <w:top w:type="dxa" w:w="90"/>
              <w:left w:type="dxa" w:w="120"/>
              <w:bottom w:type="dxa" w:w="90"/>
              <w:right w:type="dxa" w:w="120"/>
            </w:tcMar>
            <w:vAlign w:val="center"/>
          </w:tcPr>
          <w:p>
            <w:r>
              <w:rPr>
                <w:b w:val="false"/>
                <w:bCs w:val="false"/>
                <w:sz w:val="19"/>
                <w:szCs w:val="19"/>
              </w:rPr>
              <w:t xml:space="preserve">Preventive</w:t>
            </w:r>
          </w:p>
        </w:tc>
      </w:tr>
      <w:tr>
        <w:tc>
          <w:tcPr>
            <w:tcW w:type="dxa" w:w="3800"/>
            <w:tcMar>
              <w:top w:type="dxa" w:w="90"/>
              <w:left w:type="dxa" w:w="120"/>
              <w:bottom w:type="dxa" w:w="90"/>
              <w:right w:type="dxa" w:w="120"/>
            </w:tcMar>
            <w:vAlign w:val="center"/>
          </w:tcPr>
          <w:p>
            <w:r>
              <w:rPr>
                <w:b w:val="false"/>
                <w:bCs w:val="false"/>
                <w:sz w:val="19"/>
                <w:szCs w:val="19"/>
              </w:rPr>
              <w:t xml:space="preserve">Verify VirtualBox network segmentation (CTRL0020007)</w:t>
            </w:r>
          </w:p>
        </w:tc>
        <w:tc>
          <w:tcPr>
            <w:tcW w:type="dxa" w:w="3300"/>
            <w:tcMar>
              <w:top w:type="dxa" w:w="90"/>
              <w:left w:type="dxa" w:w="120"/>
              <w:bottom w:type="dxa" w:w="90"/>
              <w:right w:type="dxa" w:w="120"/>
            </w:tcMar>
            <w:vAlign w:val="center"/>
          </w:tcPr>
          <w:p>
            <w:r>
              <w:rPr>
                <w:b w:val="false"/>
                <w:bCs w:val="false"/>
                <w:sz w:val="19"/>
                <w:szCs w:val="19"/>
              </w:rPr>
              <w:t xml:space="preserve">Segment and secure the network</w:t>
            </w:r>
          </w:p>
        </w:tc>
        <w:tc>
          <w:tcPr>
            <w:tcW w:type="dxa" w:w="1926"/>
            <w:tcMar>
              <w:top w:type="dxa" w:w="90"/>
              <w:left w:type="dxa" w:w="120"/>
              <w:bottom w:type="dxa" w:w="90"/>
              <w:right w:type="dxa" w:w="120"/>
            </w:tcMar>
            <w:vAlign w:val="center"/>
          </w:tcPr>
          <w:p>
            <w:r>
              <w:rPr>
                <w:b w:val="false"/>
                <w:bCs w:val="false"/>
                <w:sz w:val="19"/>
                <w:szCs w:val="19"/>
              </w:rPr>
              <w:t xml:space="preserve">Preventive</w:t>
            </w:r>
          </w:p>
        </w:tc>
      </w:tr>
    </w:tbl>
    <w:p>
      <w:pPr>
        <w:spacing w:after="200" w:before="60"/>
      </w:pPr>
      <w:r>
        <w:rPr>
          <w:i/>
          <w:iCs/>
          <w:color w:val="555555"/>
          <w:sz w:val="18"/>
          <w:szCs w:val="18"/>
        </w:rPr>
        <w:t xml:space="preserve">Table 4. Controls, one per objective, all scoped to the Home Lab Environment entity.</w:t>
      </w:r>
    </w:p>
    <w:p>
      <w:pPr>
        <w:pStyle w:val="Heading2"/>
        <w:spacing w:after="120" w:before="240"/>
      </w:pPr>
      <w:r>
        <w:t xml:space="preserve">5.2 Treatment Decisions</w:t>
      </w:r>
    </w:p>
    <w:p>
      <w:pPr>
        <w:spacing w:after="180" w:line="300"/>
      </w:pPr>
      <w:r>
        <w:rPr>
          <w:i w:val="false"/>
          <w:iCs w:val="false"/>
          <w:sz w:val="21"/>
          <w:szCs w:val="21"/>
        </w:rPr>
        <w:t xml:space="preserve">Each risk was assigned a Mitigate treatment decision, reflecting that an active control already addresses the underlying exposure in every case. Accept, Avoid, and Transfer were not applicable to any risk in this assessment.</w:t>
      </w:r>
    </w:p>
    <w:p>
      <w:pPr>
        <w:pStyle w:val="Heading2"/>
        <w:spacing w:after="120" w:before="240"/>
      </w:pPr>
      <w:r>
        <w:t xml:space="preserve">5.3 Control Lifecycle</w:t>
      </w:r>
    </w:p>
    <w:p>
      <w:pPr>
        <w:spacing w:after="180" w:line="300"/>
      </w:pPr>
      <w:r>
        <w:rPr>
          <w:i w:val="false"/>
          <w:iCs w:val="false"/>
          <w:sz w:val="21"/>
          <w:szCs w:val="21"/>
        </w:rPr>
        <w:t xml:space="preserve">All five controls were advanced through their full active lifecycle — Draft, Attest, Review, and Monitor — and now sit in Monitor, the correct operating state for a control in continuous use.</w:t>
      </w:r>
    </w:p>
    <w:p>
      <w:pPr>
        <w:pStyle w:val="Heading1"/>
        <w:spacing w:after="160" w:before="320"/>
      </w:pPr>
      <w:r>
        <w:t xml:space="preserve">6. Platform and Tooling Observations</w:t>
      </w:r>
    </w:p>
    <w:p>
      <w:pPr>
        <w:spacing w:after="180" w:line="300"/>
      </w:pPr>
      <w:r>
        <w:rPr>
          <w:i w:val="false"/>
          <w:iCs w:val="false"/>
          <w:sz w:val="21"/>
          <w:szCs w:val="21"/>
        </w:rPr>
        <w:t xml:space="preserve">Three platform behaviors surfaced during this assessment. Each is documented here as an environment characteristic rather than an assessment gap, since in every case the underlying decision or record persisted correctly — only a cross-record relationship or campaign-dependent layer above it did not.</w:t>
      </w:r>
    </w:p>
    <w:p>
      <w:pPr>
        <w:pStyle w:val="Heading2"/>
        <w:spacing w:after="120" w:before="240"/>
      </w:pPr>
      <w:r>
        <w:t xml:space="preserve">6.1 Risk-to-Control Relationship Persistence</w:t>
      </w:r>
    </w:p>
    <w:p>
      <w:pPr>
        <w:spacing w:after="180" w:line="300"/>
      </w:pPr>
      <w:r>
        <w:rPr>
          <w:i w:val="false"/>
          <w:iCs w:val="false"/>
          <w:sz w:val="21"/>
          <w:szCs w:val="21"/>
        </w:rPr>
        <w:t xml:space="preserve">The native Risk↔Control relationship did not persist when created through the standard related-list interface. This was tested across two independent Risk-Control pairs to rule out a fault specific to a single record, from both relationship directions, with confirmed checkbox selection, full page reloads, and a private browser session with extensions disabled to rule out client-side interference. Every attempt failed to save despite the interface visually confirming a valid selection. The intended mapping between each risk and its mitigating control is instead recorded directly in Section 5.1 and treated as authoritative.</w:t>
      </w:r>
    </w:p>
    <w:p>
      <w:pPr>
        <w:pStyle w:val="Heading2"/>
        <w:spacing w:after="120" w:before="240"/>
      </w:pPr>
      <w:r>
        <w:t xml:space="preserve">6.2 Treatment Elaboration Fields</w:t>
      </w:r>
    </w:p>
    <w:p>
      <w:pPr>
        <w:spacing w:after="180" w:line="300"/>
      </w:pPr>
      <w:r>
        <w:rPr>
          <w:i w:val="false"/>
          <w:iCs w:val="false"/>
          <w:sz w:val="21"/>
          <w:szCs w:val="21"/>
        </w:rPr>
        <w:t xml:space="preserve">The fields supporting a treatment decision — Plan, Justification, Avoidance Steps, Insurance Contract, and Vendor — remained read-only regardless of which Response value was selected, tested across multiple values on multiple risk records. The Response field itself, the substantive treatment decision, saved correctly in every case; only the narrative elaboration beneath it was inaccessible. That narrative is recorded in Section 5.2 in place of the locked fields.</w:t>
      </w:r>
    </w:p>
    <w:p>
      <w:pPr>
        <w:pStyle w:val="Heading2"/>
        <w:spacing w:after="120" w:before="240"/>
      </w:pPr>
      <w:r>
        <w:t xml:space="preserve">6.3 Attestation Cycle</w:t>
      </w:r>
    </w:p>
    <w:p>
      <w:pPr>
        <w:spacing w:after="180" w:line="300"/>
      </w:pPr>
      <w:r>
        <w:rPr>
          <w:i w:val="false"/>
          <w:iCs w:val="false"/>
          <w:sz w:val="21"/>
          <w:szCs w:val="21"/>
        </w:rPr>
        <w:t xml:space="preserve">Attestation and Attestation Respondents fields on every Control record were locked, auto-synced to the record owner rather than editable, and the Classic Attestations related list offered no manual-entry option on any control tested. This indicates attestation in this module is driven by a formal, admin-configured campaign targeting a defined population of controls on a schedule, rather than something created ad hoc per record — reasonable administrative scope, but beyond what a single-user developer instance exposes.</w:t>
      </w:r>
    </w:p>
    <w:p>
      <w:pPr>
        <w:spacing w:after="180" w:line="300"/>
      </w:pPr>
      <w:r>
        <w:rPr>
          <w:i w:val="false"/>
          <w:iCs w:val="false"/>
          <w:sz w:val="21"/>
          <w:szCs w:val="21"/>
        </w:rPr>
        <w:t xml:space="preserve">Across all three findings, the pattern is consistent: record-level creation, scoring, and workflow-state progression functioned reliably throughout the assessment; what required more than the interface exposed was anything spanning records or dependent on a background process. Documenting that boundary directly, rather than working around it silently, is treated here as part of the assessment's output rather than a deviation from it.</w:t>
      </w:r>
    </w:p>
    <w:p>
      <w:pPr>
        <w:pStyle w:val="Heading1"/>
        <w:spacing w:after="160" w:before="320"/>
      </w:pPr>
      <w:r>
        <w:t xml:space="preserve">7. Conclusion and Recommendations</w:t>
      </w:r>
    </w:p>
    <w:p>
      <w:pPr>
        <w:spacing w:after="180" w:line="300"/>
      </w:pPr>
      <w:r>
        <w:rPr>
          <w:i w:val="false"/>
          <w:iCs w:val="false"/>
          <w:sz w:val="21"/>
          <w:szCs w:val="21"/>
        </w:rPr>
        <w:t xml:space="preserve">This assessment demonstrates a complete, honestly documented risk management cycle for a small but real environment: a mapped framework, a scored risk register, active controls, and recorded treatment decisions. Every risk in scope is currently mitigated by a control in active monitoring, and no unaddressed exposure remains outstanding.</w:t>
      </w:r>
    </w:p>
    <w:p>
      <w:pPr>
        <w:spacing w:after="180" w:line="300"/>
      </w:pPr>
      <w:r>
        <w:rPr>
          <w:i w:val="false"/>
          <w:iCs w:val="false"/>
          <w:sz w:val="21"/>
          <w:szCs w:val="21"/>
        </w:rPr>
        <w:t xml:space="preserve">Recommendations for extending this assessment:</w:t>
      </w:r>
    </w:p>
    <w:p>
      <w:pPr>
        <w:pStyle w:val="ListParagraph"/>
        <w:numPr>
          <w:ilvl w:val="0"/>
          <w:numId w:val="1"/>
        </w:numPr>
        <w:spacing w:after="100"/>
      </w:pPr>
      <w:r>
        <w:rPr>
          <w:sz w:val="21"/>
          <w:szCs w:val="21"/>
        </w:rPr>
        <w:t xml:space="preserve">Recalibrate risk scoring criteria to reflect the environment's actual scale before drawing severity comparisons against enterprise-calibrated demonstration data.</w:t>
      </w:r>
    </w:p>
    <w:p>
      <w:pPr>
        <w:pStyle w:val="ListParagraph"/>
        <w:numPr>
          <w:ilvl w:val="0"/>
          <w:numId w:val="1"/>
        </w:numPr>
        <w:spacing w:after="100"/>
      </w:pPr>
      <w:r>
        <w:rPr>
          <w:sz w:val="21"/>
          <w:szCs w:val="21"/>
        </w:rPr>
        <w:t xml:space="preserve">Extend Annex A coverage incrementally as the environment grows, following the same asset-driven scoping approach used here rather than pursuing exhaustive coverage upfront.</w:t>
      </w:r>
    </w:p>
    <w:p>
      <w:pPr>
        <w:pStyle w:val="ListParagraph"/>
        <w:numPr>
          <w:ilvl w:val="0"/>
          <w:numId w:val="1"/>
        </w:numPr>
        <w:spacing w:after="100"/>
      </w:pPr>
      <w:r>
        <w:rPr>
          <w:sz w:val="21"/>
          <w:szCs w:val="21"/>
        </w:rPr>
        <w:t xml:space="preserve">Where attestation cycles are required, plan for the administrative campaign configuration they depend on ahead of the assessment itself.</w:t>
      </w:r>
    </w:p>
    <w:p>
      <w:pPr>
        <w:pStyle w:val="ListParagraph"/>
        <w:numPr>
          <w:ilvl w:val="0"/>
          <w:numId w:val="1"/>
        </w:numPr>
        <w:spacing w:after="100"/>
      </w:pPr>
      <w:r>
        <w:rPr>
          <w:sz w:val="21"/>
          <w:szCs w:val="21"/>
        </w:rPr>
        <w:t xml:space="preserve">Revisit this assessment on the same annual cadence reflected in each control's attestation frequency setting.</w:t>
      </w:r>
    </w:p>
    <w:p>
      <w:r>
        <w:br w:type="page"/>
      </w:r>
    </w:p>
    <w:p>
      <w:pPr>
        <w:pStyle w:val="Heading1"/>
        <w:spacing w:after="160" w:before="320"/>
      </w:pPr>
      <w:r>
        <w:t xml:space="preserve">Appendix A: Citation Reference</w:t>
      </w:r>
    </w:p>
    <w:p>
      <w:pPr>
        <w:spacing w:after="180" w:line="300"/>
      </w:pPr>
      <w:r>
        <w:rPr>
          <w:i/>
          <w:iCs/>
          <w:sz w:val="21"/>
          <w:szCs w:val="21"/>
        </w:rPr>
        <w:t xml:space="preserve">Descriptions below are paraphrased summaries of each control's intent, not reproduced verbatim from the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tblHeader/>
        </w:trPr>
        <w:tc>
          <w:tcPr>
            <w:tcW w:type="dxa" w:w="900"/>
            <w:shd w:fill="1F3864" w:val="clear"/>
            <w:tcMar>
              <w:top w:type="dxa" w:w="90"/>
              <w:left w:type="dxa" w:w="120"/>
              <w:bottom w:type="dxa" w:w="90"/>
              <w:right w:type="dxa" w:w="120"/>
            </w:tcMar>
            <w:vAlign w:val="center"/>
          </w:tcPr>
          <w:p>
            <w:r>
              <w:rPr>
                <w:b/>
                <w:bCs/>
                <w:color w:val="FFFFFF"/>
                <w:sz w:val="19"/>
                <w:szCs w:val="19"/>
              </w:rPr>
              <w:t xml:space="preserve">Ref.</w:t>
            </w:r>
          </w:p>
        </w:tc>
        <w:tc>
          <w:tcPr>
            <w:tcW w:type="dxa" w:w="2000"/>
            <w:shd w:fill="1F3864" w:val="clear"/>
            <w:tcMar>
              <w:top w:type="dxa" w:w="90"/>
              <w:left w:type="dxa" w:w="120"/>
              <w:bottom w:type="dxa" w:w="90"/>
              <w:right w:type="dxa" w:w="120"/>
            </w:tcMar>
            <w:vAlign w:val="center"/>
          </w:tcPr>
          <w:p>
            <w:r>
              <w:rPr>
                <w:b/>
                <w:bCs/>
                <w:color w:val="FFFFFF"/>
                <w:sz w:val="19"/>
                <w:szCs w:val="19"/>
              </w:rPr>
              <w:t xml:space="preserve">Name</w:t>
            </w:r>
          </w:p>
        </w:tc>
        <w:tc>
          <w:tcPr>
            <w:tcW w:type="dxa" w:w="6126"/>
            <w:shd w:fill="1F3864" w:val="clear"/>
            <w:tcMar>
              <w:top w:type="dxa" w:w="90"/>
              <w:left w:type="dxa" w:w="120"/>
              <w:bottom w:type="dxa" w:w="90"/>
              <w:right w:type="dxa" w:w="120"/>
            </w:tcMar>
            <w:vAlign w:val="center"/>
          </w:tcPr>
          <w:p>
            <w:r>
              <w:rPr>
                <w:b/>
                <w:bCs/>
                <w:color w:val="FFFFFF"/>
                <w:sz w:val="19"/>
                <w:szCs w:val="19"/>
              </w:rPr>
              <w:t xml:space="preserve">Description</w:t>
            </w:r>
          </w:p>
        </w:tc>
      </w:tr>
      <w:tr>
        <w:tc>
          <w:tcPr>
            <w:tcW w:type="dxa" w:w="900"/>
            <w:tcMar>
              <w:top w:type="dxa" w:w="90"/>
              <w:left w:type="dxa" w:w="120"/>
              <w:bottom w:type="dxa" w:w="90"/>
              <w:right w:type="dxa" w:w="120"/>
            </w:tcMar>
            <w:vAlign w:val="center"/>
          </w:tcPr>
          <w:p>
            <w:r>
              <w:rPr>
                <w:b w:val="false"/>
                <w:bCs w:val="false"/>
                <w:sz w:val="19"/>
                <w:szCs w:val="19"/>
              </w:rPr>
              <w:t xml:space="preserve">A.5.9</w:t>
            </w:r>
          </w:p>
        </w:tc>
        <w:tc>
          <w:tcPr>
            <w:tcW w:type="dxa" w:w="2000"/>
            <w:tcMar>
              <w:top w:type="dxa" w:w="90"/>
              <w:left w:type="dxa" w:w="120"/>
              <w:bottom w:type="dxa" w:w="90"/>
              <w:right w:type="dxa" w:w="120"/>
            </w:tcMar>
            <w:vAlign w:val="center"/>
          </w:tcPr>
          <w:p>
            <w:r>
              <w:rPr>
                <w:b w:val="false"/>
                <w:bCs w:val="false"/>
                <w:sz w:val="19"/>
                <w:szCs w:val="19"/>
              </w:rPr>
              <w:t xml:space="preserve">Inventory of assets</w:t>
            </w:r>
          </w:p>
        </w:tc>
        <w:tc>
          <w:tcPr>
            <w:tcW w:type="dxa" w:w="6126"/>
            <w:tcMar>
              <w:top w:type="dxa" w:w="90"/>
              <w:left w:type="dxa" w:w="120"/>
              <w:bottom w:type="dxa" w:w="90"/>
              <w:right w:type="dxa" w:w="120"/>
            </w:tcMar>
            <w:vAlign w:val="center"/>
          </w:tcPr>
          <w:p>
            <w:r>
              <w:rPr>
                <w:b w:val="false"/>
                <w:bCs w:val="false"/>
                <w:sz w:val="19"/>
                <w:szCs w:val="19"/>
              </w:rPr>
              <w:t xml:space="preserve">Information and other associated assets should be identified, and an inventory of these assets, kept accurate, current, and consistent, should be maintained.</w:t>
            </w:r>
          </w:p>
        </w:tc>
      </w:tr>
      <w:tr>
        <w:tc>
          <w:tcPr>
            <w:tcW w:type="dxa" w:w="900"/>
            <w:shd w:fill="F2F2F2" w:val="clear"/>
            <w:tcMar>
              <w:top w:type="dxa" w:w="90"/>
              <w:left w:type="dxa" w:w="120"/>
              <w:bottom w:type="dxa" w:w="90"/>
              <w:right w:type="dxa" w:w="120"/>
            </w:tcMar>
            <w:vAlign w:val="center"/>
          </w:tcPr>
          <w:p>
            <w:r>
              <w:rPr>
                <w:b w:val="false"/>
                <w:bCs w:val="false"/>
                <w:sz w:val="19"/>
                <w:szCs w:val="19"/>
              </w:rPr>
              <w:t xml:space="preserve">A.5.15</w:t>
            </w:r>
          </w:p>
        </w:tc>
        <w:tc>
          <w:tcPr>
            <w:tcW w:type="dxa" w:w="2000"/>
            <w:shd w:fill="F2F2F2" w:val="clear"/>
            <w:tcMar>
              <w:top w:type="dxa" w:w="90"/>
              <w:left w:type="dxa" w:w="120"/>
              <w:bottom w:type="dxa" w:w="90"/>
              <w:right w:type="dxa" w:w="120"/>
            </w:tcMar>
            <w:vAlign w:val="center"/>
          </w:tcPr>
          <w:p>
            <w:r>
              <w:rPr>
                <w:b w:val="false"/>
                <w:bCs w:val="false"/>
                <w:sz w:val="19"/>
                <w:szCs w:val="19"/>
              </w:rPr>
              <w:t xml:space="preserve">Access control</w:t>
            </w:r>
          </w:p>
        </w:tc>
        <w:tc>
          <w:tcPr>
            <w:tcW w:type="dxa" w:w="6126"/>
            <w:shd w:fill="F2F2F2" w:val="clear"/>
            <w:tcMar>
              <w:top w:type="dxa" w:w="90"/>
              <w:left w:type="dxa" w:w="120"/>
              <w:bottom w:type="dxa" w:w="90"/>
              <w:right w:type="dxa" w:w="120"/>
            </w:tcMar>
            <w:vAlign w:val="center"/>
          </w:tcPr>
          <w:p>
            <w:r>
              <w:rPr>
                <w:b w:val="false"/>
                <w:bCs w:val="false"/>
                <w:sz w:val="19"/>
                <w:szCs w:val="19"/>
              </w:rPr>
              <w:t xml:space="preserve">Rules to control physical and logical access to information and other associated assets should be established based on business and security requirements.</w:t>
            </w:r>
          </w:p>
        </w:tc>
      </w:tr>
      <w:tr>
        <w:tc>
          <w:tcPr>
            <w:tcW w:type="dxa" w:w="900"/>
            <w:tcMar>
              <w:top w:type="dxa" w:w="90"/>
              <w:left w:type="dxa" w:w="120"/>
              <w:bottom w:type="dxa" w:w="90"/>
              <w:right w:type="dxa" w:w="120"/>
            </w:tcMar>
            <w:vAlign w:val="center"/>
          </w:tcPr>
          <w:p>
            <w:r>
              <w:rPr>
                <w:b w:val="false"/>
                <w:bCs w:val="false"/>
                <w:sz w:val="19"/>
                <w:szCs w:val="19"/>
              </w:rPr>
              <w:t xml:space="preserve">A.5.18</w:t>
            </w:r>
          </w:p>
        </w:tc>
        <w:tc>
          <w:tcPr>
            <w:tcW w:type="dxa" w:w="2000"/>
            <w:tcMar>
              <w:top w:type="dxa" w:w="90"/>
              <w:left w:type="dxa" w:w="120"/>
              <w:bottom w:type="dxa" w:w="90"/>
              <w:right w:type="dxa" w:w="120"/>
            </w:tcMar>
            <w:vAlign w:val="center"/>
          </w:tcPr>
          <w:p>
            <w:r>
              <w:rPr>
                <w:b w:val="false"/>
                <w:bCs w:val="false"/>
                <w:sz w:val="19"/>
                <w:szCs w:val="19"/>
              </w:rPr>
              <w:t xml:space="preserve">Access rights</w:t>
            </w:r>
          </w:p>
        </w:tc>
        <w:tc>
          <w:tcPr>
            <w:tcW w:type="dxa" w:w="6126"/>
            <w:tcMar>
              <w:top w:type="dxa" w:w="90"/>
              <w:left w:type="dxa" w:w="120"/>
              <w:bottom w:type="dxa" w:w="90"/>
              <w:right w:type="dxa" w:w="120"/>
            </w:tcMar>
            <w:vAlign w:val="center"/>
          </w:tcPr>
          <w:p>
            <w:r>
              <w:rPr>
                <w:b w:val="false"/>
                <w:bCs w:val="false"/>
                <w:sz w:val="19"/>
                <w:szCs w:val="19"/>
              </w:rPr>
              <w:t xml:space="preserve">Access rights to information and other associated assets should be provisioned, reviewed, modified, and removed in line with the access control policy.</w:t>
            </w:r>
          </w:p>
        </w:tc>
      </w:tr>
      <w:tr>
        <w:tc>
          <w:tcPr>
            <w:tcW w:type="dxa" w:w="900"/>
            <w:shd w:fill="F2F2F2" w:val="clear"/>
            <w:tcMar>
              <w:top w:type="dxa" w:w="90"/>
              <w:left w:type="dxa" w:w="120"/>
              <w:bottom w:type="dxa" w:w="90"/>
              <w:right w:type="dxa" w:w="120"/>
            </w:tcMar>
            <w:vAlign w:val="center"/>
          </w:tcPr>
          <w:p>
            <w:r>
              <w:rPr>
                <w:b w:val="false"/>
                <w:bCs w:val="false"/>
                <w:sz w:val="19"/>
                <w:szCs w:val="19"/>
              </w:rPr>
              <w:t xml:space="preserve">A.8.1</w:t>
            </w:r>
          </w:p>
        </w:tc>
        <w:tc>
          <w:tcPr>
            <w:tcW w:type="dxa" w:w="2000"/>
            <w:shd w:fill="F2F2F2" w:val="clear"/>
            <w:tcMar>
              <w:top w:type="dxa" w:w="90"/>
              <w:left w:type="dxa" w:w="120"/>
              <w:bottom w:type="dxa" w:w="90"/>
              <w:right w:type="dxa" w:w="120"/>
            </w:tcMar>
            <w:vAlign w:val="center"/>
          </w:tcPr>
          <w:p>
            <w:r>
              <w:rPr>
                <w:b w:val="false"/>
                <w:bCs w:val="false"/>
                <w:sz w:val="19"/>
                <w:szCs w:val="19"/>
              </w:rPr>
              <w:t xml:space="preserve">User endpoint devices</w:t>
            </w:r>
          </w:p>
        </w:tc>
        <w:tc>
          <w:tcPr>
            <w:tcW w:type="dxa" w:w="6126"/>
            <w:shd w:fill="F2F2F2" w:val="clear"/>
            <w:tcMar>
              <w:top w:type="dxa" w:w="90"/>
              <w:left w:type="dxa" w:w="120"/>
              <w:bottom w:type="dxa" w:w="90"/>
              <w:right w:type="dxa" w:w="120"/>
            </w:tcMar>
            <w:vAlign w:val="center"/>
          </w:tcPr>
          <w:p>
            <w:r>
              <w:rPr>
                <w:b w:val="false"/>
                <w:bCs w:val="false"/>
                <w:sz w:val="19"/>
                <w:szCs w:val="19"/>
              </w:rPr>
              <w:t xml:space="preserve">Information stored on, processed by, or accessible via user endpoint devices should be protected, since these devices are a common entry point for incidents.</w:t>
            </w:r>
          </w:p>
        </w:tc>
      </w:tr>
      <w:tr>
        <w:tc>
          <w:tcPr>
            <w:tcW w:type="dxa" w:w="900"/>
            <w:tcMar>
              <w:top w:type="dxa" w:w="90"/>
              <w:left w:type="dxa" w:w="120"/>
              <w:bottom w:type="dxa" w:w="90"/>
              <w:right w:type="dxa" w:w="120"/>
            </w:tcMar>
            <w:vAlign w:val="center"/>
          </w:tcPr>
          <w:p>
            <w:r>
              <w:rPr>
                <w:b w:val="false"/>
                <w:bCs w:val="false"/>
                <w:sz w:val="19"/>
                <w:szCs w:val="19"/>
              </w:rPr>
              <w:t xml:space="preserve">A.8.7</w:t>
            </w:r>
          </w:p>
        </w:tc>
        <w:tc>
          <w:tcPr>
            <w:tcW w:type="dxa" w:w="2000"/>
            <w:tcMar>
              <w:top w:type="dxa" w:w="90"/>
              <w:left w:type="dxa" w:w="120"/>
              <w:bottom w:type="dxa" w:w="90"/>
              <w:right w:type="dxa" w:w="120"/>
            </w:tcMar>
            <w:vAlign w:val="center"/>
          </w:tcPr>
          <w:p>
            <w:r>
              <w:rPr>
                <w:b w:val="false"/>
                <w:bCs w:val="false"/>
                <w:sz w:val="19"/>
                <w:szCs w:val="19"/>
              </w:rPr>
              <w:t xml:space="preserve">Protection against malware</w:t>
            </w:r>
          </w:p>
        </w:tc>
        <w:tc>
          <w:tcPr>
            <w:tcW w:type="dxa" w:w="6126"/>
            <w:tcMar>
              <w:top w:type="dxa" w:w="90"/>
              <w:left w:type="dxa" w:w="120"/>
              <w:bottom w:type="dxa" w:w="90"/>
              <w:right w:type="dxa" w:w="120"/>
            </w:tcMar>
            <w:vAlign w:val="center"/>
          </w:tcPr>
          <w:p>
            <w:r>
              <w:rPr>
                <w:b w:val="false"/>
                <w:bCs w:val="false"/>
                <w:sz w:val="19"/>
                <w:szCs w:val="19"/>
              </w:rPr>
              <w:t xml:space="preserve">Protection against malware should be implemented and supported by user awareness, covering prevention, detection, and recovery measures.</w:t>
            </w:r>
          </w:p>
        </w:tc>
      </w:tr>
      <w:tr>
        <w:tc>
          <w:tcPr>
            <w:tcW w:type="dxa" w:w="900"/>
            <w:shd w:fill="F2F2F2" w:val="clear"/>
            <w:tcMar>
              <w:top w:type="dxa" w:w="90"/>
              <w:left w:type="dxa" w:w="120"/>
              <w:bottom w:type="dxa" w:w="90"/>
              <w:right w:type="dxa" w:w="120"/>
            </w:tcMar>
            <w:vAlign w:val="center"/>
          </w:tcPr>
          <w:p>
            <w:r>
              <w:rPr>
                <w:b w:val="false"/>
                <w:bCs w:val="false"/>
                <w:sz w:val="19"/>
                <w:szCs w:val="19"/>
              </w:rPr>
              <w:t xml:space="preserve">A.8.8</w:t>
            </w:r>
          </w:p>
        </w:tc>
        <w:tc>
          <w:tcPr>
            <w:tcW w:type="dxa" w:w="2000"/>
            <w:shd w:fill="F2F2F2" w:val="clear"/>
            <w:tcMar>
              <w:top w:type="dxa" w:w="90"/>
              <w:left w:type="dxa" w:w="120"/>
              <w:bottom w:type="dxa" w:w="90"/>
              <w:right w:type="dxa" w:w="120"/>
            </w:tcMar>
            <w:vAlign w:val="center"/>
          </w:tcPr>
          <w:p>
            <w:r>
              <w:rPr>
                <w:b w:val="false"/>
                <w:bCs w:val="false"/>
                <w:sz w:val="19"/>
                <w:szCs w:val="19"/>
              </w:rPr>
              <w:t xml:space="preserve">Management of technical vulnerabilities</w:t>
            </w:r>
          </w:p>
        </w:tc>
        <w:tc>
          <w:tcPr>
            <w:tcW w:type="dxa" w:w="6126"/>
            <w:shd w:fill="F2F2F2" w:val="clear"/>
            <w:tcMar>
              <w:top w:type="dxa" w:w="90"/>
              <w:left w:type="dxa" w:w="120"/>
              <w:bottom w:type="dxa" w:w="90"/>
              <w:right w:type="dxa" w:w="120"/>
            </w:tcMar>
            <w:vAlign w:val="center"/>
          </w:tcPr>
          <w:p>
            <w:r>
              <w:rPr>
                <w:b w:val="false"/>
                <w:bCs w:val="false"/>
                <w:sz w:val="19"/>
                <w:szCs w:val="19"/>
              </w:rPr>
              <w:t xml:space="preserve">Information about technical vulnerabilities in systems should be obtained, exposure evaluated, and appropriate measures taken to address the risk.</w:t>
            </w:r>
          </w:p>
        </w:tc>
      </w:tr>
      <w:tr>
        <w:tc>
          <w:tcPr>
            <w:tcW w:type="dxa" w:w="900"/>
            <w:tcMar>
              <w:top w:type="dxa" w:w="90"/>
              <w:left w:type="dxa" w:w="120"/>
              <w:bottom w:type="dxa" w:w="90"/>
              <w:right w:type="dxa" w:w="120"/>
            </w:tcMar>
            <w:vAlign w:val="center"/>
          </w:tcPr>
          <w:p>
            <w:r>
              <w:rPr>
                <w:b w:val="false"/>
                <w:bCs w:val="false"/>
                <w:sz w:val="19"/>
                <w:szCs w:val="19"/>
              </w:rPr>
              <w:t xml:space="preserve">A.8.9</w:t>
            </w:r>
          </w:p>
        </w:tc>
        <w:tc>
          <w:tcPr>
            <w:tcW w:type="dxa" w:w="2000"/>
            <w:tcMar>
              <w:top w:type="dxa" w:w="90"/>
              <w:left w:type="dxa" w:w="120"/>
              <w:bottom w:type="dxa" w:w="90"/>
              <w:right w:type="dxa" w:w="120"/>
            </w:tcMar>
            <w:vAlign w:val="center"/>
          </w:tcPr>
          <w:p>
            <w:r>
              <w:rPr>
                <w:b w:val="false"/>
                <w:bCs w:val="false"/>
                <w:sz w:val="19"/>
                <w:szCs w:val="19"/>
              </w:rPr>
              <w:t xml:space="preserve">Configuration management</w:t>
            </w:r>
          </w:p>
        </w:tc>
        <w:tc>
          <w:tcPr>
            <w:tcW w:type="dxa" w:w="6126"/>
            <w:tcMar>
              <w:top w:type="dxa" w:w="90"/>
              <w:left w:type="dxa" w:w="120"/>
              <w:bottom w:type="dxa" w:w="90"/>
              <w:right w:type="dxa" w:w="120"/>
            </w:tcMar>
            <w:vAlign w:val="center"/>
          </w:tcPr>
          <w:p>
            <w:r>
              <w:rPr>
                <w:b w:val="false"/>
                <w:bCs w:val="false"/>
                <w:sz w:val="19"/>
                <w:szCs w:val="19"/>
              </w:rPr>
              <w:t xml:space="preserve">Configurations, including security configurations, of hardware, software, services, and networks should be established, documented, and monitored.</w:t>
            </w:r>
          </w:p>
        </w:tc>
      </w:tr>
      <w:tr>
        <w:tc>
          <w:tcPr>
            <w:tcW w:type="dxa" w:w="900"/>
            <w:shd w:fill="F2F2F2" w:val="clear"/>
            <w:tcMar>
              <w:top w:type="dxa" w:w="90"/>
              <w:left w:type="dxa" w:w="120"/>
              <w:bottom w:type="dxa" w:w="90"/>
              <w:right w:type="dxa" w:w="120"/>
            </w:tcMar>
            <w:vAlign w:val="center"/>
          </w:tcPr>
          <w:p>
            <w:r>
              <w:rPr>
                <w:b w:val="false"/>
                <w:bCs w:val="false"/>
                <w:sz w:val="19"/>
                <w:szCs w:val="19"/>
              </w:rPr>
              <w:t xml:space="preserve">A.8.15</w:t>
            </w:r>
          </w:p>
        </w:tc>
        <w:tc>
          <w:tcPr>
            <w:tcW w:type="dxa" w:w="2000"/>
            <w:shd w:fill="F2F2F2" w:val="clear"/>
            <w:tcMar>
              <w:top w:type="dxa" w:w="90"/>
              <w:left w:type="dxa" w:w="120"/>
              <w:bottom w:type="dxa" w:w="90"/>
              <w:right w:type="dxa" w:w="120"/>
            </w:tcMar>
            <w:vAlign w:val="center"/>
          </w:tcPr>
          <w:p>
            <w:r>
              <w:rPr>
                <w:b w:val="false"/>
                <w:bCs w:val="false"/>
                <w:sz w:val="19"/>
                <w:szCs w:val="19"/>
              </w:rPr>
              <w:t xml:space="preserve">Logging</w:t>
            </w:r>
          </w:p>
        </w:tc>
        <w:tc>
          <w:tcPr>
            <w:tcW w:type="dxa" w:w="6126"/>
            <w:shd w:fill="F2F2F2" w:val="clear"/>
            <w:tcMar>
              <w:top w:type="dxa" w:w="90"/>
              <w:left w:type="dxa" w:w="120"/>
              <w:bottom w:type="dxa" w:w="90"/>
              <w:right w:type="dxa" w:w="120"/>
            </w:tcMar>
            <w:vAlign w:val="center"/>
          </w:tcPr>
          <w:p>
            <w:r>
              <w:rPr>
                <w:b w:val="false"/>
                <w:bCs w:val="false"/>
                <w:sz w:val="19"/>
                <w:szCs w:val="19"/>
              </w:rPr>
              <w:t xml:space="preserve">Logs capturing system activity, errors, and security-relevant events must be generated, retained, protected, and reviewed to support detection and investigation.</w:t>
            </w:r>
          </w:p>
        </w:tc>
      </w:tr>
      <w:tr>
        <w:tc>
          <w:tcPr>
            <w:tcW w:type="dxa" w:w="900"/>
            <w:tcMar>
              <w:top w:type="dxa" w:w="90"/>
              <w:left w:type="dxa" w:w="120"/>
              <w:bottom w:type="dxa" w:w="90"/>
              <w:right w:type="dxa" w:w="120"/>
            </w:tcMar>
            <w:vAlign w:val="center"/>
          </w:tcPr>
          <w:p>
            <w:r>
              <w:rPr>
                <w:b w:val="false"/>
                <w:bCs w:val="false"/>
                <w:sz w:val="19"/>
                <w:szCs w:val="19"/>
              </w:rPr>
              <w:t xml:space="preserve">A.8.16</w:t>
            </w:r>
          </w:p>
        </w:tc>
        <w:tc>
          <w:tcPr>
            <w:tcW w:type="dxa" w:w="2000"/>
            <w:tcMar>
              <w:top w:type="dxa" w:w="90"/>
              <w:left w:type="dxa" w:w="120"/>
              <w:bottom w:type="dxa" w:w="90"/>
              <w:right w:type="dxa" w:w="120"/>
            </w:tcMar>
            <w:vAlign w:val="center"/>
          </w:tcPr>
          <w:p>
            <w:r>
              <w:rPr>
                <w:b w:val="false"/>
                <w:bCs w:val="false"/>
                <w:sz w:val="19"/>
                <w:szCs w:val="19"/>
              </w:rPr>
              <w:t xml:space="preserve">Monitoring activities</w:t>
            </w:r>
          </w:p>
        </w:tc>
        <w:tc>
          <w:tcPr>
            <w:tcW w:type="dxa" w:w="6126"/>
            <w:tcMar>
              <w:top w:type="dxa" w:w="90"/>
              <w:left w:type="dxa" w:w="120"/>
              <w:bottom w:type="dxa" w:w="90"/>
              <w:right w:type="dxa" w:w="120"/>
            </w:tcMar>
            <w:vAlign w:val="center"/>
          </w:tcPr>
          <w:p>
            <w:r>
              <w:rPr>
                <w:b w:val="false"/>
                <w:bCs w:val="false"/>
                <w:sz w:val="19"/>
                <w:szCs w:val="19"/>
              </w:rPr>
              <w:t xml:space="preserve">Networks, systems, and applications should be monitored for anomalous behavior, with appropriate action taken to evaluate potential incidents.</w:t>
            </w:r>
          </w:p>
        </w:tc>
      </w:tr>
      <w:tr>
        <w:tc>
          <w:tcPr>
            <w:tcW w:type="dxa" w:w="900"/>
            <w:shd w:fill="F2F2F2" w:val="clear"/>
            <w:tcMar>
              <w:top w:type="dxa" w:w="90"/>
              <w:left w:type="dxa" w:w="120"/>
              <w:bottom w:type="dxa" w:w="90"/>
              <w:right w:type="dxa" w:w="120"/>
            </w:tcMar>
            <w:vAlign w:val="center"/>
          </w:tcPr>
          <w:p>
            <w:r>
              <w:rPr>
                <w:b w:val="false"/>
                <w:bCs w:val="false"/>
                <w:sz w:val="19"/>
                <w:szCs w:val="19"/>
              </w:rPr>
              <w:t xml:space="preserve">A.8.20</w:t>
            </w:r>
          </w:p>
        </w:tc>
        <w:tc>
          <w:tcPr>
            <w:tcW w:type="dxa" w:w="2000"/>
            <w:shd w:fill="F2F2F2" w:val="clear"/>
            <w:tcMar>
              <w:top w:type="dxa" w:w="90"/>
              <w:left w:type="dxa" w:w="120"/>
              <w:bottom w:type="dxa" w:w="90"/>
              <w:right w:type="dxa" w:w="120"/>
            </w:tcMar>
            <w:vAlign w:val="center"/>
          </w:tcPr>
          <w:p>
            <w:r>
              <w:rPr>
                <w:b w:val="false"/>
                <w:bCs w:val="false"/>
                <w:sz w:val="19"/>
                <w:szCs w:val="19"/>
              </w:rPr>
              <w:t xml:space="preserve">Networks security</w:t>
            </w:r>
          </w:p>
        </w:tc>
        <w:tc>
          <w:tcPr>
            <w:tcW w:type="dxa" w:w="6126"/>
            <w:shd w:fill="F2F2F2" w:val="clear"/>
            <w:tcMar>
              <w:top w:type="dxa" w:w="90"/>
              <w:left w:type="dxa" w:w="120"/>
              <w:bottom w:type="dxa" w:w="90"/>
              <w:right w:type="dxa" w:w="120"/>
            </w:tcMar>
            <w:vAlign w:val="center"/>
          </w:tcPr>
          <w:p>
            <w:r>
              <w:rPr>
                <w:b w:val="false"/>
                <w:bCs w:val="false"/>
                <w:sz w:val="19"/>
                <w:szCs w:val="19"/>
              </w:rPr>
              <w:t xml:space="preserve">Networks and network devices should be secured, managed, and controlled to protect information within systems and applications.</w:t>
            </w:r>
          </w:p>
        </w:tc>
      </w:tr>
      <w:tr>
        <w:tc>
          <w:tcPr>
            <w:tcW w:type="dxa" w:w="900"/>
            <w:tcMar>
              <w:top w:type="dxa" w:w="90"/>
              <w:left w:type="dxa" w:w="120"/>
              <w:bottom w:type="dxa" w:w="90"/>
              <w:right w:type="dxa" w:w="120"/>
            </w:tcMar>
            <w:vAlign w:val="center"/>
          </w:tcPr>
          <w:p>
            <w:r>
              <w:rPr>
                <w:b w:val="false"/>
                <w:bCs w:val="false"/>
                <w:sz w:val="19"/>
                <w:szCs w:val="19"/>
              </w:rPr>
              <w:t xml:space="preserve">A.8.22</w:t>
            </w:r>
          </w:p>
        </w:tc>
        <w:tc>
          <w:tcPr>
            <w:tcW w:type="dxa" w:w="2000"/>
            <w:tcMar>
              <w:top w:type="dxa" w:w="90"/>
              <w:left w:type="dxa" w:w="120"/>
              <w:bottom w:type="dxa" w:w="90"/>
              <w:right w:type="dxa" w:w="120"/>
            </w:tcMar>
            <w:vAlign w:val="center"/>
          </w:tcPr>
          <w:p>
            <w:r>
              <w:rPr>
                <w:b w:val="false"/>
                <w:bCs w:val="false"/>
                <w:sz w:val="19"/>
                <w:szCs w:val="19"/>
              </w:rPr>
              <w:t xml:space="preserve">Segregation of networks</w:t>
            </w:r>
          </w:p>
        </w:tc>
        <w:tc>
          <w:tcPr>
            <w:tcW w:type="dxa" w:w="6126"/>
            <w:tcMar>
              <w:top w:type="dxa" w:w="90"/>
              <w:left w:type="dxa" w:w="120"/>
              <w:bottom w:type="dxa" w:w="90"/>
              <w:right w:type="dxa" w:w="120"/>
            </w:tcMar>
            <w:vAlign w:val="center"/>
          </w:tcPr>
          <w:p>
            <w:r>
              <w:rPr>
                <w:b w:val="false"/>
                <w:bCs w:val="false"/>
                <w:sz w:val="19"/>
                <w:szCs w:val="19"/>
              </w:rPr>
              <w:t xml:space="preserve">Groups of information services, users, and information systems should be segregated on networks according to their security requirements.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IT Risk Assessment Report — Home Lab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2026-08-16T14:24:39.725Z</dcterms:created>
  <dcterms:modified xsi:type="dcterms:W3CDTF">2026-08-16T14:24:39.725Z</dcterms:modified>
</cp:coreProperties>
</file>

<file path=docProps/custom.xml><?xml version="1.0" encoding="utf-8"?>
<Properties xmlns="http://schemas.openxmlformats.org/officeDocument/2006/custom-properties" xmlns:vt="http://schemas.openxmlformats.org/officeDocument/2006/docPropsVTypes"/>
</file>