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16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A1A3D"/>
          <w:sz w:val="52"/>
          <w:szCs w:val="52"/>
        </w:rPr>
        <w:t>HAAD Practitioner Workpapers</w:t>
      </w:r>
    </w:p>
    <w:p>
      <w:pPr>
        <w:pBdr>
          <w:bottom w:val="single" w:color="A6884E" w:sz="12" w:space="6"/>
        </w:pBdr>
        <w:spacing w:after="220"/>
        <w:jc w:val="center"/>
      </w:pPr>
      <w: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color w:val="23234F"/>
          <w:sz w:val="30"/>
          <w:szCs w:val="30"/>
        </w:rPr>
        <w:t>Operational Forms</w:t>
      </w:r>
    </w:p>
    <w:p>
      <w:pPr>
        <w:spacing w:after="520"/>
        <w:jc w:val="center"/>
      </w:pPr>
      <w:r>
        <w:rPr>
          <w:rFonts w:ascii="Calibri" w:cs="Calibri" w:eastAsia="Calibri" w:hAnsi="Calibri"/>
          <w:b/>
          <w:bCs/>
          <w:color w:val="A6884E"/>
          <w:sz w:val="24"/>
          <w:szCs w:val="24"/>
        </w:rPr>
        <w:t>Version 0.5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1A1A1A"/>
          <w:sz w:val="26"/>
          <w:szCs w:val="26"/>
        </w:rPr>
        <w:t>Kevin V. Watson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7A7A85"/>
          <w:sz w:val="22"/>
          <w:szCs w:val="22"/>
        </w:rPr>
        <w:t>August 25, 2026</w:t>
      </w:r>
    </w:p>
    <w:p>
      <w:pPr>
        <w:spacing w:before="40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7A7A85"/>
          <w:sz w:val="18"/>
          <w:szCs w:val="18"/>
        </w:rPr>
        <w:t>Copyright © 2026 Kevin V. Watson. Licensed under CC BY-NC 4.0.</w:t>
      </w:r>
    </w:p>
    <w:p>
      <w:r>
        <w:br w:type="page"/>
      </w:r>
    </w:p>
    <w:p>
      <w:pPr>
        <w:spacing w:after="480"/>
      </w:pPr>
    </w:p>
    <w:p>
      <w:pPr>
        <w:spacing w:after="160"/>
      </w:pPr>
      <w:r>
        <w:rPr>
          <w:rFonts w:ascii="Calibri" w:cs="Calibri" w:eastAsia="Calibri" w:hAnsi="Calibri"/>
          <w:b/>
          <w:bCs/>
          <w:color w:val="23234F"/>
          <w:sz w:val="30"/>
          <w:szCs w:val="30"/>
        </w:rPr>
        <w:t xml:space="preserve">Document information</w:t>
      </w:r>
    </w:p>
    <w:p>
      <w:pPr>
        <w:spacing w:after="100" w:line="264" w:lineRule="auto"/>
      </w:pPr>
      <w:r>
        <w:rPr>
          <w:b/>
          <w:sz w:val="18"/>
        </w:rPr>
        <w:t>Author:</w:t>
      </w:r>
      <w:r>
        <w:rPr>
          <w:sz w:val="18"/>
        </w:rPr>
        <w:t xml:space="preserve"> Kevin V. Watson</w:t>
      </w:r>
    </w:p>
    <w:p>
      <w:pPr>
        <w:spacing w:after="100" w:line="264" w:lineRule="auto"/>
      </w:pPr>
      <w:r>
        <w:rPr>
          <w:b/>
          <w:sz w:val="18"/>
        </w:rPr>
        <w:t>Version 0.5 DOI:</w:t>
      </w:r>
      <w:r>
        <w:rPr>
          <w:sz w:val="18"/>
        </w:rPr>
        <w:t xml:space="preserve"> </w:t>
      </w:r>
      <w:hyperlink r:id="rId11">
        <w:r>
          <w:rPr>
            <w:color w:val="2A66A0"/>
            <w:u w:val="single"/>
            <w:sz w:val="18"/>
          </w:rPr>
          <w:t>10.5281/zenodo.22099968</w:t>
        </w:r>
      </w:hyperlink>
    </w:p>
    <w:p>
      <w:pPr>
        <w:spacing w:after="100" w:line="264" w:lineRule="auto"/>
      </w:pPr>
      <w:r>
        <w:rPr>
          <w:b/>
          <w:sz w:val="18"/>
        </w:rPr>
        <w:t>Prior deposited version:</w:t>
      </w:r>
      <w:r>
        <w:rPr>
          <w:sz w:val="18"/>
        </w:rPr>
        <w:t xml:space="preserve"> </w:t>
      </w:r>
      <w:hyperlink r:id="rId12">
        <w:r>
          <w:rPr>
            <w:color w:val="2A66A0"/>
            <w:u w:val="single"/>
            <w:sz w:val="18"/>
          </w:rPr>
          <w:t>Version 0.4, DOI 10.5281/zenodo.21683276</w:t>
        </w:r>
      </w:hyperlink>
    </w:p>
    <w:p>
      <w:pPr>
        <w:spacing w:after="100" w:line="264" w:lineRule="auto"/>
      </w:pPr>
      <w:r>
        <w:rPr>
          <w:b/>
          <w:sz w:val="18"/>
        </w:rPr>
        <w:t>Canonical source:</w:t>
      </w:r>
      <w:r>
        <w:rPr>
          <w:sz w:val="18"/>
        </w:rPr>
        <w:t xml:space="preserve"> </w:t>
      </w:r>
      <w:r>
        <w:rPr>
          <w:i/>
          <w:sz w:val="18"/>
        </w:rPr>
        <w:t>Human–Agent Attribution Discontinuity: A Forensic and Assurance Methodology</w:t>
      </w:r>
      <w:r>
        <w:rPr>
          <w:sz w:val="18"/>
        </w:rPr>
        <w:t>, Version 0.5</w:t>
      </w:r>
    </w:p>
    <w:p>
      <w:pPr>
        <w:spacing w:after="100" w:line="264" w:lineRule="auto"/>
      </w:pPr>
      <w:r>
        <w:rPr>
          <w:b/>
          <w:sz w:val="18"/>
        </w:rPr>
        <w:t>Status:</w:t>
      </w:r>
      <w:r>
        <w:rPr>
          <w:sz w:val="18"/>
        </w:rPr>
        <w:t xml:space="preserve"> Operational companion. The canonical methodology controls if this extraction and the full text differ.</w:t>
      </w:r>
    </w:p>
    <w:p>
      <w:pPr>
        <w:spacing w:after="100" w:line="264" w:lineRule="auto"/>
      </w:pPr>
      <w:r>
        <w:rPr>
          <w:b/>
          <w:sz w:val="18"/>
        </w:rPr>
        <w:t>Copyright and licence:</w:t>
      </w:r>
      <w:r>
        <w:rPr>
          <w:sz w:val="18"/>
        </w:rPr>
        <w:t xml:space="preserve"> Copyright © 2026 Kevin V. Watson. Licensed under the </w:t>
      </w:r>
      <w:hyperlink r:id="rId13">
        <w:r>
          <w:rPr>
            <w:color w:val="2A66A0"/>
            <w:u w:val="single"/>
            <w:sz w:val="18"/>
          </w:rPr>
          <w:t>Creative Commons Attribution-NonCommercial 4.0 International Licence</w:t>
        </w:r>
      </w:hyperlink>
      <w:r>
        <w:rPr>
          <w:sz w:val="18"/>
        </w:rPr>
        <w:t>. Adaptations must identify their changes and must not be represented as official HAAD materials or as endorsed by the author.</w:t>
      </w:r>
    </w:p>
    <w:p>
      <w:pPr>
        <w:spacing w:after="100" w:line="259" w:lineRule="auto"/>
      </w:pPr>
      <w:r>
        <w:rPr>
          <w:sz w:val="18"/>
        </w:rPr>
        <w:t>Record the methodology version, application level, examiner, reviewer, matter identifier, and preservation location on every completed set. Preserve observations separately from inferences. Use evidence identifiers consistently across all workpapers.</w:t>
      </w:r>
    </w:p>
    <w:p>
      <w:pPr>
        <w:spacing w:after="120"/>
        <w:pBdr>
          <w:bottom w:val="single" w:sz="4" w:space="1" w:color="5D7793"/>
        </w:pBdr>
      </w:pPr>
    </w:p>
    <w:p>
      <w:pPr>
        <w:pStyle w:val="Heading1"/>
        <w:keepNext/>
      </w:pPr>
      <w:r>
        <w:t>Classification key</w:t>
      </w:r>
    </w:p>
    <w:p>
      <w:pPr>
        <w:pStyle w:val="Heading2"/>
        <w:keepNext/>
      </w:pPr>
      <w:r>
        <w:t>Evidentiary classifications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sz w:val="18"/>
        </w:rPr>
        <w:t>Known–established:</w:t>
      </w:r>
      <w:r>
        <w:rPr>
          <w:sz w:val="18"/>
        </w:rPr>
        <w:t xml:space="preserve"> reliable evidence establishes the proposition and materially plausible alternatives have been addressed.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sz w:val="18"/>
        </w:rPr>
        <w:t>Known–contradicted:</w:t>
      </w:r>
      <w:r>
        <w:rPr>
          <w:sz w:val="18"/>
        </w:rPr>
        <w:t xml:space="preserve"> reliable evidence establishes that the proposed transition did not occur as alleged.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sz w:val="18"/>
        </w:rPr>
        <w:t>Assumed:</w:t>
      </w:r>
      <w:r>
        <w:rPr>
          <w:sz w:val="18"/>
        </w:rPr>
        <w:t xml:space="preserve"> used for a limited analytical purpose but not established; the assumption and effect are explicit.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sz w:val="18"/>
        </w:rPr>
        <w:t>Undetermined–pending:</w:t>
      </w:r>
      <w:r>
        <w:rPr>
          <w:sz w:val="18"/>
        </w:rPr>
        <w:t xml:space="preserve"> potentially resolvable evidence remains to be obtained or tested.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sz w:val="18"/>
        </w:rPr>
        <w:t>Undetermined–exhausted, absent:</w:t>
      </w:r>
      <w:r>
        <w:rPr>
          <w:sz w:val="18"/>
        </w:rPr>
        <w:t xml:space="preserve"> the necessary evidence was not created, retained, or is established not to exist.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sz w:val="18"/>
        </w:rPr>
        <w:t>Undetermined–exhausted, inaccessible:</w:t>
      </w:r>
      <w:r>
        <w:rPr>
          <w:sz w:val="18"/>
        </w:rPr>
        <w:t xml:space="preserve"> evidence may exist, but reasonable acquisition avenues within authority and scope are exhausted.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sz w:val="18"/>
        </w:rPr>
        <w:t>Undetermined–exhausted, existence unknown:</w:t>
      </w:r>
      <w:r>
        <w:rPr>
          <w:sz w:val="18"/>
        </w:rPr>
        <w:t xml:space="preserve"> reasonable inquiries cannot establish whether the evidence exists.</w:t>
      </w:r>
    </w:p>
    <w:p>
      <w:pPr>
        <w:pStyle w:val="Heading2"/>
        <w:keepNext/>
      </w:pPr>
      <w:r>
        <w:t>Scope dispositions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sz w:val="18"/>
        </w:rPr>
        <w:t>Not in issue:</w:t>
      </w:r>
      <w:r>
        <w:rPr>
          <w:sz w:val="18"/>
        </w:rPr>
        <w:t xml:space="preserve"> the dimension belongs to the model, but no material fact, context, or competing explanation places it in dispute.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b/>
          <w:sz w:val="18"/>
        </w:rPr>
        <w:t>Not applicable:</w:t>
      </w:r>
      <w:r>
        <w:rPr>
          <w:sz w:val="18"/>
        </w:rPr>
        <w:t xml:space="preserve"> the dimension does not logically apply to the scoped attribution claim.</w:t>
      </w:r>
    </w:p>
    <w:p>
      <w:pPr>
        <w:spacing w:after="100" w:line="259" w:lineRule="auto"/>
      </w:pPr>
      <w:r>
        <w:rPr>
          <w:sz w:val="18"/>
        </w:rPr>
        <w:t>These are not evidentiary conclusions and do not mean known–established.</w:t>
      </w:r>
    </w:p>
    <w:p>
      <w:pPr>
        <w:pStyle w:val="Heading2"/>
        <w:keepNext/>
      </w:pPr>
      <w:r>
        <w:t>Canonical attribution dimensions</w:t>
      </w:r>
    </w:p>
    <w:p>
      <w:pPr>
        <w:spacing w:after="100" w:line="259" w:lineRule="auto"/>
      </w:pPr>
      <w:r>
        <w:rPr>
          <w:sz w:val="18"/>
        </w:rPr>
        <w:t>Use these identifiers and names throughout the workpapers: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1527"/>
        <w:gridCol w:w="4704"/>
        <w:gridCol w:w="3647"/>
      </w:tblGrid>
      <w:tr>
        <w:trPr>
          <w:cantSplit/>
          <w:tblHeader w:val="true"/>
        </w:trPr>
        <w:tc>
          <w:tcPr>
            <w:tcW w:type="dxa" w:w="152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ID</w:t>
            </w:r>
          </w:p>
        </w:tc>
        <w:tc>
          <w:tcPr>
            <w:tcW w:type="dxa" w:w="470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Canonical dimension</w:t>
            </w:r>
          </w:p>
        </w:tc>
        <w:tc>
          <w:tcPr>
            <w:tcW w:type="dxa" w:w="36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Discontinuity classification</w:t>
            </w:r>
          </w:p>
        </w:tc>
      </w:tr>
      <w:tr>
        <w:trPr>
          <w:cantSplit/>
        </w:trPr>
        <w:tc>
          <w:tcPr>
            <w:tcW w:type="dxa" w:w="152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AD-01</w:t>
            </w:r>
          </w:p>
        </w:tc>
        <w:tc>
          <w:tcPr>
            <w:tcW w:type="dxa" w:w="470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External action</w:t>
            </w:r>
          </w:p>
        </w:tc>
        <w:tc>
          <w:tcPr>
            <w:tcW w:type="dxa" w:w="36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Action (7.1)</w:t>
            </w:r>
          </w:p>
        </w:tc>
      </w:tr>
      <w:tr>
        <w:trPr>
          <w:cantSplit/>
        </w:trPr>
        <w:tc>
          <w:tcPr>
            <w:tcW w:type="dxa" w:w="152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AD-02</w:t>
            </w:r>
          </w:p>
        </w:tc>
        <w:tc>
          <w:tcPr>
            <w:tcW w:type="dxa" w:w="470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Technical actor and execution</w:t>
            </w:r>
          </w:p>
        </w:tc>
        <w:tc>
          <w:tcPr>
            <w:tcW w:type="dxa" w:w="36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Execution (7.2)</w:t>
            </w:r>
          </w:p>
        </w:tc>
      </w:tr>
      <w:tr>
        <w:trPr>
          <w:cantSplit/>
        </w:trPr>
        <w:tc>
          <w:tcPr>
            <w:tcW w:type="dxa" w:w="152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AD-03</w:t>
            </w:r>
          </w:p>
        </w:tc>
        <w:tc>
          <w:tcPr>
            <w:tcW w:type="dxa" w:w="470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Credential or account</w:t>
            </w:r>
          </w:p>
        </w:tc>
        <w:tc>
          <w:tcPr>
            <w:tcW w:type="dxa" w:w="36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Identity (7.3)</w:t>
            </w:r>
          </w:p>
        </w:tc>
      </w:tr>
      <w:tr>
        <w:trPr>
          <w:cantSplit/>
        </w:trPr>
        <w:tc>
          <w:tcPr>
            <w:tcW w:type="dxa" w:w="152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AD-04</w:t>
            </w:r>
          </w:p>
        </w:tc>
        <w:tc>
          <w:tcPr>
            <w:tcW w:type="dxa" w:w="470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Human identity</w:t>
            </w:r>
          </w:p>
        </w:tc>
        <w:tc>
          <w:tcPr>
            <w:tcW w:type="dxa" w:w="36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Identity (7.3)</w:t>
            </w:r>
          </w:p>
        </w:tc>
      </w:tr>
      <w:tr>
        <w:trPr>
          <w:cantSplit/>
        </w:trPr>
        <w:tc>
          <w:tcPr>
            <w:tcW w:type="dxa" w:w="152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AD-05</w:t>
            </w:r>
          </w:p>
        </w:tc>
        <w:tc>
          <w:tcPr>
            <w:tcW w:type="dxa" w:w="470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Natural-person control</w:t>
            </w:r>
          </w:p>
        </w:tc>
        <w:tc>
          <w:tcPr>
            <w:tcW w:type="dxa" w:w="36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Control (7.4)</w:t>
            </w:r>
          </w:p>
        </w:tc>
      </w:tr>
      <w:tr>
        <w:trPr>
          <w:cantSplit/>
        </w:trPr>
        <w:tc>
          <w:tcPr>
            <w:tcW w:type="dxa" w:w="152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AD-06</w:t>
            </w:r>
          </w:p>
        </w:tc>
        <w:tc>
          <w:tcPr>
            <w:tcW w:type="dxa" w:w="470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Authorship of the material interaction</w:t>
            </w:r>
          </w:p>
        </w:tc>
        <w:tc>
          <w:tcPr>
            <w:tcW w:type="dxa" w:w="36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Interaction-authorship (7.5)</w:t>
            </w:r>
          </w:p>
        </w:tc>
      </w:tr>
      <w:tr>
        <w:trPr>
          <w:cantSplit/>
        </w:trPr>
        <w:tc>
          <w:tcPr>
            <w:tcW w:type="dxa" w:w="152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AD-07</w:t>
            </w:r>
          </w:p>
        </w:tc>
        <w:tc>
          <w:tcPr>
            <w:tcW w:type="dxa" w:w="470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Instruction origin</w:t>
            </w:r>
          </w:p>
        </w:tc>
        <w:tc>
          <w:tcPr>
            <w:tcW w:type="dxa" w:w="36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Instruction-origin (7.6)</w:t>
            </w:r>
          </w:p>
        </w:tc>
      </w:tr>
      <w:tr>
        <w:trPr>
          <w:cantSplit/>
        </w:trPr>
        <w:tc>
          <w:tcPr>
            <w:tcW w:type="dxa" w:w="152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AD-08</w:t>
            </w:r>
          </w:p>
        </w:tc>
        <w:tc>
          <w:tcPr>
            <w:tcW w:type="dxa" w:w="470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Knowing authorization</w:t>
            </w:r>
          </w:p>
        </w:tc>
        <w:tc>
          <w:tcPr>
            <w:tcW w:type="dxa" w:w="36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Authorization (7.7)</w:t>
            </w:r>
          </w:p>
        </w:tc>
      </w:tr>
      <w:tr>
        <w:trPr>
          <w:cantSplit/>
        </w:trPr>
        <w:tc>
          <w:tcPr>
            <w:tcW w:type="dxa" w:w="152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AD-09</w:t>
            </w:r>
          </w:p>
        </w:tc>
        <w:tc>
          <w:tcPr>
            <w:tcW w:type="dxa" w:w="470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Voluntariness</w:t>
            </w:r>
          </w:p>
        </w:tc>
        <w:tc>
          <w:tcPr>
            <w:tcW w:type="dxa" w:w="36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Voluntariness (7.8)</w:t>
            </w:r>
          </w:p>
        </w:tc>
      </w:tr>
      <w:tr>
        <w:trPr>
          <w:cantSplit/>
        </w:trPr>
        <w:tc>
          <w:tcPr>
            <w:tcW w:type="dxa" w:w="152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AD-10</w:t>
            </w:r>
          </w:p>
        </w:tc>
        <w:tc>
          <w:tcPr>
            <w:tcW w:type="dxa" w:w="470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Scope</w:t>
            </w:r>
          </w:p>
        </w:tc>
        <w:tc>
          <w:tcPr>
            <w:tcW w:type="dxa" w:w="36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Scope (7.9)</w:t>
            </w:r>
          </w:p>
        </w:tc>
      </w:tr>
      <w:tr>
        <w:trPr>
          <w:cantSplit/>
        </w:trPr>
        <w:tc>
          <w:tcPr>
            <w:tcW w:type="dxa" w:w="152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AD-11</w:t>
            </w:r>
          </w:p>
        </w:tc>
        <w:tc>
          <w:tcPr>
            <w:tcW w:type="dxa" w:w="470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Knowledge</w:t>
            </w:r>
          </w:p>
        </w:tc>
        <w:tc>
          <w:tcPr>
            <w:tcW w:type="dxa" w:w="36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Knowledge (7.10)</w:t>
            </w:r>
          </w:p>
        </w:tc>
      </w:tr>
      <w:tr>
        <w:trPr>
          <w:cantSplit/>
        </w:trPr>
        <w:tc>
          <w:tcPr>
            <w:tcW w:type="dxa" w:w="152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AD-12</w:t>
            </w:r>
          </w:p>
        </w:tc>
        <w:tc>
          <w:tcPr>
            <w:tcW w:type="dxa" w:w="470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Intent</w:t>
            </w:r>
          </w:p>
        </w:tc>
        <w:tc>
          <w:tcPr>
            <w:tcW w:type="dxa" w:w="36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Intent (7.11)</w:t>
            </w:r>
          </w:p>
        </w:tc>
      </w:tr>
      <w:tr>
        <w:trPr>
          <w:cantSplit/>
        </w:trPr>
        <w:tc>
          <w:tcPr>
            <w:tcW w:type="dxa" w:w="152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AD-13</w:t>
            </w:r>
          </w:p>
        </w:tc>
        <w:tc>
          <w:tcPr>
            <w:tcW w:type="dxa" w:w="470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Delegation</w:t>
            </w:r>
          </w:p>
        </w:tc>
        <w:tc>
          <w:tcPr>
            <w:tcW w:type="dxa" w:w="36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Delegation (7.12)</w:t>
            </w:r>
          </w:p>
        </w:tc>
      </w:tr>
      <w:tr>
        <w:trPr>
          <w:cantSplit/>
        </w:trPr>
        <w:tc>
          <w:tcPr>
            <w:tcW w:type="dxa" w:w="152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AD-14</w:t>
            </w:r>
          </w:p>
        </w:tc>
        <w:tc>
          <w:tcPr>
            <w:tcW w:type="dxa" w:w="470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Causal contribution</w:t>
            </w:r>
          </w:p>
        </w:tc>
        <w:tc>
          <w:tcPr>
            <w:tcW w:type="dxa" w:w="36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Causal-contribution (7.17)</w:t>
            </w: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sz w:val="18"/>
        </w:rPr>
        <w:t>Individual and organizational investigative attribution are synthesized conclusions. Responsibility referral is a downstream output.</w:t>
      </w:r>
    </w:p>
    <w:p>
      <w:pPr>
        <w:pStyle w:val="Heading2"/>
        <w:keepNext/>
      </w:pPr>
      <w:r>
        <w:t>Discontinuity classification</w:t>
      </w:r>
    </w:p>
    <w:p>
      <w:pPr>
        <w:spacing w:after="100" w:line="259" w:lineRule="auto"/>
      </w:pPr>
      <w:r>
        <w:rPr>
          <w:sz w:val="18"/>
        </w:rPr>
        <w:t>Record: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18"/>
        </w:rPr>
        <w:t>the affected attribution dimension;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18"/>
        </w:rPr>
        <w:t>the failure condition or conditions;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18"/>
        </w:rPr>
        <w:t>the graph location; and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sz w:val="18"/>
        </w:rPr>
        <w:t>whether the discontinuity is primary, co-primary, contributing, causal, or downstream.</w:t>
      </w:r>
    </w:p>
    <w:p>
      <w:pPr>
        <w:spacing w:after="120"/>
        <w:pBdr>
          <w:bottom w:val="single" w:sz="4" w:space="1" w:color="5D7793"/>
        </w:pBdr>
      </w:pPr>
    </w:p>
    <w:p>
      <w:pPr>
        <w:pStyle w:val="Heading1"/>
        <w:keepNext/>
      </w:pPr>
      <w:r>
        <w:t>Matter control sheet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5155"/>
        <w:gridCol w:w="4723"/>
      </w:tblGrid>
      <w:tr>
        <w:trPr>
          <w:cantSplit/>
          <w:tblHeader w:val="true"/>
        </w:trPr>
        <w:tc>
          <w:tcPr>
            <w:tcW w:type="dxa" w:w="515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Field</w:t>
            </w:r>
          </w:p>
        </w:tc>
        <w:tc>
          <w:tcPr>
            <w:tcW w:type="dxa" w:w="472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Entry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Matter identifier</w:t>
            </w:r>
          </w:p>
        </w:tc>
        <w:tc>
          <w:tcPr>
            <w:tcW w:type="dxa" w:w="472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Methodology version</w:t>
            </w:r>
          </w:p>
        </w:tc>
        <w:tc>
          <w:tcPr>
            <w:tcW w:type="dxa" w:w="472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Version 0.5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Practitioner</w:t>
            </w:r>
          </w:p>
        </w:tc>
        <w:tc>
          <w:tcPr>
            <w:tcW w:type="dxa" w:w="472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Independent reviewer</w:t>
            </w:r>
          </w:p>
        </w:tc>
        <w:tc>
          <w:tcPr>
            <w:tcW w:type="dxa" w:w="472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Date opened</w:t>
            </w:r>
          </w:p>
        </w:tc>
        <w:tc>
          <w:tcPr>
            <w:tcW w:type="dxa" w:w="472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Application level</w:t>
            </w:r>
          </w:p>
        </w:tc>
        <w:tc>
          <w:tcPr>
            <w:tcW w:type="dxa" w:w="472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Triage / Standard / Enhanced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Mode</w:t>
            </w:r>
          </w:p>
        </w:tc>
        <w:tc>
          <w:tcPr>
            <w:tcW w:type="dxa" w:w="472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Forensic / Assurance</w:t>
            </w: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Evidence-preservation location</w:t>
            </w:r>
          </w:p>
        </w:tc>
        <w:tc>
          <w:tcPr>
            <w:tcW w:type="dxa" w:w="472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515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Workpaper access classification</w:t>
            </w:r>
          </w:p>
        </w:tc>
        <w:tc>
          <w:tcPr>
            <w:tcW w:type="dxa" w:w="472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120"/>
        <w:pBdr>
          <w:bottom w:val="single" w:sz="4" w:space="1" w:color="5D7793"/>
        </w:pBdr>
      </w:pPr>
    </w:p>
    <w:p>
      <w:pPr>
        <w:pStyle w:val="Heading1"/>
        <w:keepNext/>
      </w:pPr>
      <w:r>
        <w:t>WP-01 Attribution Question and Scope Record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7981"/>
        <w:gridCol w:w="1897"/>
      </w:tblGrid>
      <w:tr>
        <w:trPr>
          <w:cantSplit/>
          <w:tblHeader w:val="true"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Field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Entry</w:t>
            </w: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Consequential action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Proposed human or organizational attribution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Attribution dimensions in issue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Period and material time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Unit of analysis and aggregation basis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Action, run, session, episode, incident, campaign, and population counts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Attempted, executed, completed, effective, harmful, mitigated, and recovered states in scope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Systems and trust domains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Included questions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Excluded questions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Mode: forensic or assurance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Application level and justification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Dimensions not in issue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Dimensions not applicable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Individual path, organizational path, or both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Technical, operator, cluster, organizational, or sponsorship paths in scope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120"/>
        <w:pBdr>
          <w:bottom w:val="single" w:sz="4" w:space="1" w:color="5D7793"/>
        </w:pBdr>
      </w:pPr>
    </w:p>
    <w:p>
      <w:pPr>
        <w:pStyle w:val="Heading1"/>
        <w:keepNext/>
      </w:pPr>
      <w:r>
        <w:t>WP-02 Attribution Graph and Transition Register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1062"/>
        <w:gridCol w:w="853"/>
        <w:gridCol w:w="853"/>
        <w:gridCol w:w="979"/>
        <w:gridCol w:w="1688"/>
        <w:gridCol w:w="1229"/>
        <w:gridCol w:w="1479"/>
        <w:gridCol w:w="1735"/>
      </w:tblGrid>
      <w:tr>
        <w:trPr>
          <w:cantSplit/>
          <w:tblHeader w:val="true"/>
        </w:trPr>
        <w:tc>
          <w:tcPr>
            <w:tcW w:type="dxa" w:w="106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Transition ID</w:t>
            </w:r>
          </w:p>
        </w:tc>
        <w:tc>
          <w:tcPr>
            <w:tcW w:type="dxa" w:w="85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From</w:t>
            </w:r>
          </w:p>
        </w:tc>
        <w:tc>
          <w:tcPr>
            <w:tcW w:type="dxa" w:w="85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To</w:t>
            </w:r>
          </w:p>
        </w:tc>
        <w:tc>
          <w:tcPr>
            <w:tcW w:type="dxa" w:w="97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Proposition</w:t>
            </w:r>
          </w:p>
        </w:tc>
        <w:tc>
          <w:tcPr>
            <w:tcW w:type="dxa" w:w="168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Material to which conclusion</w:t>
            </w:r>
          </w:p>
        </w:tc>
        <w:tc>
          <w:tcPr>
            <w:tcW w:type="dxa" w:w="122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Expected evidence</w:t>
            </w:r>
          </w:p>
        </w:tc>
        <w:tc>
          <w:tcPr>
            <w:tcW w:type="dxa" w:w="147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Trust-boundary crossing</w:t>
            </w:r>
          </w:p>
        </w:tc>
        <w:tc>
          <w:tcPr>
            <w:tcW w:type="dxa" w:w="17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Topology or contribution role</w:t>
            </w:r>
          </w:p>
        </w:tc>
      </w:tr>
      <w:tr>
        <w:trPr>
          <w:cantSplit/>
        </w:trPr>
        <w:tc>
          <w:tcPr>
            <w:tcW w:type="dxa" w:w="106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T-01</w:t>
            </w:r>
          </w:p>
        </w:tc>
        <w:tc>
          <w:tcPr>
            <w:tcW w:type="dxa" w:w="85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85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97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8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2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7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7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sz w:val="18"/>
        </w:rPr>
        <w:t>Attach the graph or identify its preservation location: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4939"/>
        <w:gridCol w:w="4939"/>
      </w:tblGrid>
      <w:tr>
        <w:trPr>
          <w:cantSplit/>
          <w:tblHeader w:val="true"/>
        </w:trPr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Field</w:t>
            </w:r>
          </w:p>
        </w:tc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Entry</w:t>
            </w:r>
          </w:p>
        </w:tc>
      </w:tr>
      <w:tr>
        <w:trPr>
          <w:cantSplit/>
        </w:trPr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Graph location</w:t>
            </w:r>
          </w:p>
        </w:tc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Topology</w:t>
            </w:r>
          </w:p>
        </w:tc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Hierarchical / peer-to-peer / mesh / hybrid / undetermined</w:t>
            </w:r>
          </w:p>
        </w:tc>
      </w:tr>
      <w:tr>
        <w:trPr>
          <w:cantSplit/>
        </w:trPr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Material forks, merges, or feedback loops</w:t>
            </w:r>
          </w:p>
        </w:tc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Stored-state crossings</w:t>
            </w:r>
          </w:p>
        </w:tc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Trust transformations</w:t>
            </w:r>
          </w:p>
        </w:tc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Later constraints, revocations, or narrowed approvals</w:t>
            </w:r>
          </w:p>
        </w:tc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Component, definition, or configuration state changes</w:t>
            </w:r>
          </w:p>
        </w:tc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Decision-basis state and effective-target context</w:t>
            </w:r>
          </w:p>
        </w:tc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Shared cross-run state or causal influence</w:t>
            </w:r>
          </w:p>
        </w:tc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Human decision gates</w:t>
            </w:r>
          </w:p>
        </w:tc>
        <w:tc>
          <w:tcPr>
            <w:tcW w:type="dxa" w:w="4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pStyle w:val="Heading2"/>
        <w:keepNext/>
      </w:pPr>
      <w:r>
        <w:t>Operative-state record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729"/>
        <w:gridCol w:w="1779"/>
        <w:gridCol w:w="1018"/>
        <w:gridCol w:w="1647"/>
        <w:gridCol w:w="1333"/>
        <w:gridCol w:w="939"/>
        <w:gridCol w:w="1490"/>
        <w:gridCol w:w="943"/>
      </w:tblGrid>
      <w:tr>
        <w:trPr>
          <w:cantSplit/>
          <w:tblHeader w:val="true"/>
        </w:trPr>
        <w:tc>
          <w:tcPr>
            <w:tcW w:type="dxa" w:w="72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State ID</w:t>
            </w:r>
          </w:p>
        </w:tc>
        <w:tc>
          <w:tcPr>
            <w:tcW w:type="dxa" w:w="177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Instruction, constraint, component, definition, decision basis, target context, shared state, or gate</w:t>
            </w:r>
          </w:p>
        </w:tc>
        <w:tc>
          <w:tcPr>
            <w:tcW w:type="dxa" w:w="101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Authority or origin</w:t>
            </w:r>
          </w:p>
        </w:tc>
        <w:tc>
          <w:tcPr>
            <w:tcW w:type="dxa" w:w="16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Provenance, version, freshness, and fitness</w:t>
            </w:r>
          </w:p>
        </w:tc>
        <w:tc>
          <w:tcPr>
            <w:tcW w:type="dxa" w:w="133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Delivery or deployment evidence</w:t>
            </w:r>
          </w:p>
        </w:tc>
        <w:tc>
          <w:tcPr>
            <w:tcW w:type="dxa" w:w="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Effective period</w:t>
            </w:r>
          </w:p>
        </w:tc>
        <w:tc>
          <w:tcPr>
            <w:tcW w:type="dxa" w:w="149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Components, runs, or actions affected</w:t>
            </w:r>
          </w:p>
        </w:tc>
        <w:tc>
          <w:tcPr>
            <w:tcW w:type="dxa" w:w="94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Continuity limit</w:t>
            </w:r>
          </w:p>
        </w:tc>
      </w:tr>
      <w:tr>
        <w:trPr>
          <w:cantSplit/>
        </w:trPr>
        <w:tc>
          <w:tcPr>
            <w:tcW w:type="dxa" w:w="72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ST-01</w:t>
            </w:r>
          </w:p>
        </w:tc>
        <w:tc>
          <w:tcPr>
            <w:tcW w:type="dxa" w:w="177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1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3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93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9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94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pStyle w:val="Heading2"/>
        <w:keepNext/>
      </w:pPr>
      <w:r>
        <w:t>Approval and effective-target comparison</w:t>
      </w:r>
    </w:p>
    <w:p>
      <w:pPr>
        <w:spacing w:after="100" w:line="259" w:lineRule="auto"/>
      </w:pPr>
      <w:r>
        <w:rPr>
          <w:sz w:val="18"/>
        </w:rPr>
        <w:t>Complete where approval, confirmation, silence, continued operation, or non-intervention is material.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1029"/>
        <w:gridCol w:w="1379"/>
        <w:gridCol w:w="1678"/>
        <w:gridCol w:w="1878"/>
        <w:gridCol w:w="1354"/>
        <w:gridCol w:w="1029"/>
        <w:gridCol w:w="1531"/>
      </w:tblGrid>
      <w:tr>
        <w:trPr>
          <w:cantSplit/>
          <w:tblHeader w:val="true"/>
        </w:trPr>
        <w:tc>
          <w:tcPr>
            <w:tcW w:type="dxa" w:w="102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Approval event</w:t>
            </w:r>
          </w:p>
        </w:tc>
        <w:tc>
          <w:tcPr>
            <w:tcW w:type="dxa" w:w="137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Positive grant and authority</w:t>
            </w:r>
          </w:p>
        </w:tc>
        <w:tc>
          <w:tcPr>
            <w:tcW w:type="dxa" w:w="167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Person or mechanism controlling response</w:t>
            </w:r>
          </w:p>
        </w:tc>
        <w:tc>
          <w:tcPr>
            <w:tcW w:type="dxa" w:w="187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Action, target, decision basis, parameters, risk, and consequence presented</w:t>
            </w:r>
          </w:p>
        </w:tc>
        <w:tc>
          <w:tcPr>
            <w:tcW w:type="dxa" w:w="135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Effective action and target</w:t>
            </w:r>
          </w:p>
        </w:tc>
        <w:tc>
          <w:tcPr>
            <w:tcW w:type="dxa" w:w="102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Material delta</w:t>
            </w:r>
          </w:p>
        </w:tc>
        <w:tc>
          <w:tcPr>
            <w:tcW w:type="dxa" w:w="153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Authorization and knowledge effect</w:t>
            </w:r>
          </w:p>
        </w:tc>
      </w:tr>
      <w:tr>
        <w:trPr>
          <w:cantSplit/>
        </w:trPr>
        <w:tc>
          <w:tcPr>
            <w:tcW w:type="dxa" w:w="102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AP-01</w:t>
            </w:r>
          </w:p>
        </w:tc>
        <w:tc>
          <w:tcPr>
            <w:tcW w:type="dxa" w:w="137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7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87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5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2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3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120"/>
        <w:pBdr>
          <w:bottom w:val="single" w:sz="4" w:space="1" w:color="5D7793"/>
        </w:pBdr>
      </w:pPr>
    </w:p>
    <w:p>
      <w:pPr>
        <w:pStyle w:val="Heading1"/>
        <w:keepNext/>
      </w:pPr>
      <w:r>
        <w:t>WP-03 Proposition-Specific Evidence and Independence Record</w:t>
      </w:r>
    </w:p>
    <w:p>
      <w:pPr>
        <w:spacing w:after="100" w:line="259" w:lineRule="auto"/>
      </w:pPr>
      <w:r>
        <w:rPr>
          <w:sz w:val="18"/>
        </w:rPr>
        <w:t>Complete one row for every proposition–stream relationship. The same record may be independent for one proposition and dependent or irrelevant for another.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794"/>
        <w:gridCol w:w="744"/>
        <w:gridCol w:w="1369"/>
        <w:gridCol w:w="1169"/>
        <w:gridCol w:w="944"/>
        <w:gridCol w:w="1319"/>
        <w:gridCol w:w="1169"/>
        <w:gridCol w:w="994"/>
        <w:gridCol w:w="1376"/>
      </w:tblGrid>
      <w:tr>
        <w:trPr>
          <w:cantSplit/>
          <w:tblHeader w:val="true"/>
        </w:trPr>
        <w:tc>
          <w:tcPr>
            <w:tcW w:type="dxa" w:w="7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Proposition</w:t>
            </w:r>
          </w:p>
        </w:tc>
        <w:tc>
          <w:tcPr>
            <w:tcW w:type="dxa" w:w="74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Stream ID</w:t>
            </w:r>
          </w:p>
        </w:tc>
        <w:tc>
          <w:tcPr>
            <w:tcW w:type="dxa" w:w="136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Evidence and independent face fact</w:t>
            </w:r>
          </w:p>
        </w:tc>
        <w:tc>
          <w:tcPr>
            <w:tcW w:type="dxa" w:w="116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Integrity and completeness</w:t>
            </w:r>
          </w:p>
        </w:tc>
        <w:tc>
          <w:tcPr>
            <w:tcW w:type="dxa" w:w="94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Capture mechanism</w:t>
            </w:r>
          </w:p>
        </w:tc>
        <w:tc>
          <w:tcPr>
            <w:tcW w:type="dxa" w:w="131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Dependencies or inherited fields</w:t>
            </w:r>
          </w:p>
        </w:tc>
        <w:tc>
          <w:tcPr>
            <w:tcW w:type="dxa" w:w="116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Control plane or custodian</w:t>
            </w:r>
          </w:p>
        </w:tc>
        <w:tc>
          <w:tcPr>
            <w:tcW w:type="dxa" w:w="9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Common failure path</w:t>
            </w:r>
          </w:p>
        </w:tc>
        <w:tc>
          <w:tcPr>
            <w:tcW w:type="dxa" w:w="137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Evidentiary contribution and limit</w:t>
            </w:r>
          </w:p>
        </w:tc>
      </w:tr>
      <w:tr>
        <w:trPr>
          <w:cantSplit/>
        </w:trPr>
        <w:tc>
          <w:tcPr>
            <w:tcW w:type="dxa" w:w="7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4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S-01</w:t>
            </w:r>
          </w:p>
        </w:tc>
        <w:tc>
          <w:tcPr>
            <w:tcW w:type="dxa" w:w="136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16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94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1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16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9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7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pStyle w:val="Heading2"/>
        <w:keepNext/>
      </w:pPr>
      <w:r>
        <w:t>Derivative-source record</w:t>
      </w:r>
    </w:p>
    <w:p>
      <w:pPr>
        <w:spacing w:after="100" w:line="259" w:lineRule="auto"/>
      </w:pPr>
      <w:r>
        <w:rPr>
          <w:sz w:val="18"/>
        </w:rPr>
        <w:t>Complete when an incident registry, postmortem, technique catalog, taxonomy, research reconstruction, or later report repeats or transforms another source.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1229"/>
        <w:gridCol w:w="1431"/>
        <w:gridCol w:w="1547"/>
        <w:gridCol w:w="1460"/>
        <w:gridCol w:w="1316"/>
        <w:gridCol w:w="1576"/>
        <w:gridCol w:w="1319"/>
      </w:tblGrid>
      <w:tr>
        <w:trPr>
          <w:cantSplit/>
          <w:tblHeader w:val="true"/>
        </w:trPr>
        <w:tc>
          <w:tcPr>
            <w:tcW w:type="dxa" w:w="122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Derivative artifact</w:t>
            </w:r>
          </w:p>
        </w:tc>
        <w:tc>
          <w:tcPr>
            <w:tcW w:type="dxa" w:w="143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Version and retrieval date</w:t>
            </w:r>
          </w:p>
        </w:tc>
        <w:tc>
          <w:tcPr>
            <w:tcW w:type="dxa" w:w="15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Originating source or evidence</w:t>
            </w:r>
          </w:p>
        </w:tc>
        <w:tc>
          <w:tcPr>
            <w:tcW w:type="dxa" w:w="146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Added structure or analysis</w:t>
            </w:r>
          </w:p>
        </w:tc>
        <w:tc>
          <w:tcPr>
            <w:tcW w:type="dxa" w:w="131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Inherited propositions</w:t>
            </w:r>
          </w:p>
        </w:tc>
        <w:tc>
          <w:tcPr>
            <w:tcW w:type="dxa" w:w="157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Independent observation, if any</w:t>
            </w:r>
          </w:p>
        </w:tc>
        <w:tc>
          <w:tcPr>
            <w:tcW w:type="dxa" w:w="131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Stream-count treatment</w:t>
            </w:r>
          </w:p>
        </w:tc>
      </w:tr>
      <w:tr>
        <w:trPr>
          <w:cantSplit/>
        </w:trPr>
        <w:tc>
          <w:tcPr>
            <w:tcW w:type="dxa" w:w="122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3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6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1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7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1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pStyle w:val="Heading2"/>
        <w:keepNext/>
      </w:pPr>
      <w:r>
        <w:t>Single-stream known-established exception</w:t>
      </w:r>
    </w:p>
    <w:p>
      <w:pPr>
        <w:spacing w:after="100" w:line="259" w:lineRule="auto"/>
      </w:pPr>
      <w:r>
        <w:rPr>
          <w:sz w:val="18"/>
        </w:rPr>
        <w:t>Complete only where a ceiling-setting proposition is proposed as known-established without two proposition-relevant streams.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722"/>
        <w:gridCol w:w="1404"/>
        <w:gridCol w:w="1275"/>
        <w:gridCol w:w="907"/>
        <w:gridCol w:w="1331"/>
        <w:gridCol w:w="870"/>
        <w:gridCol w:w="907"/>
        <w:gridCol w:w="1128"/>
        <w:gridCol w:w="1334"/>
      </w:tblGrid>
      <w:tr>
        <w:trPr>
          <w:cantSplit/>
          <w:tblHeader w:val="true"/>
        </w:trPr>
        <w:tc>
          <w:tcPr>
            <w:tcW w:type="dxa" w:w="72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Proposition</w:t>
            </w:r>
          </w:p>
        </w:tc>
        <w:tc>
          <w:tcPr>
            <w:tcW w:type="dxa" w:w="140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Reason second stream is unavailable or unnecessary</w:t>
            </w:r>
          </w:p>
        </w:tc>
        <w:tc>
          <w:tcPr>
            <w:tcW w:type="dxa" w:w="127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Direct observation or inherited assertion</w:t>
            </w:r>
          </w:p>
        </w:tc>
        <w:tc>
          <w:tcPr>
            <w:tcW w:type="dxa" w:w="90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Alteration capability</w:t>
            </w:r>
          </w:p>
        </w:tc>
        <w:tc>
          <w:tcPr>
            <w:tcW w:type="dxa" w:w="133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Expected confirming or contradictory records</w:t>
            </w:r>
          </w:p>
        </w:tc>
        <w:tc>
          <w:tcPr>
            <w:tcW w:type="dxa" w:w="87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Alternatives tested</w:t>
            </w:r>
          </w:p>
        </w:tc>
        <w:tc>
          <w:tcPr>
            <w:tcW w:type="dxa" w:w="90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Residual failure risk</w:t>
            </w:r>
          </w:p>
        </w:tc>
        <w:tc>
          <w:tcPr>
            <w:tcW w:type="dxa" w:w="112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Why classification is not lowered</w:t>
            </w:r>
          </w:p>
        </w:tc>
        <w:tc>
          <w:tcPr>
            <w:tcW w:type="dxa" w:w="133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Second-practitioner concurrence, if required</w:t>
            </w:r>
          </w:p>
        </w:tc>
      </w:tr>
      <w:tr>
        <w:trPr>
          <w:cantSplit/>
        </w:trPr>
        <w:tc>
          <w:tcPr>
            <w:tcW w:type="dxa" w:w="72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0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7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90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3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87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90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12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3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120"/>
        <w:pBdr>
          <w:bottom w:val="single" w:sz="4" w:space="1" w:color="5D7793"/>
        </w:pBdr>
      </w:pPr>
    </w:p>
    <w:p>
      <w:pPr>
        <w:pStyle w:val="Heading1"/>
        <w:keepNext/>
      </w:pPr>
      <w:r>
        <w:t>WP-04 Observation, Inference, and Warrant Log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1189"/>
        <w:gridCol w:w="1380"/>
        <w:gridCol w:w="1826"/>
        <w:gridCol w:w="1699"/>
        <w:gridCol w:w="1890"/>
        <w:gridCol w:w="1894"/>
      </w:tblGrid>
      <w:tr>
        <w:trPr>
          <w:cantSplit/>
          <w:tblHeader w:val="true"/>
        </w:trPr>
        <w:tc>
          <w:tcPr>
            <w:tcW w:type="dxa" w:w="118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Entry</w:t>
            </w:r>
          </w:p>
        </w:tc>
        <w:tc>
          <w:tcPr>
            <w:tcW w:type="dxa" w:w="138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Observation</w:t>
            </w:r>
          </w:p>
        </w:tc>
        <w:tc>
          <w:tcPr>
            <w:tcW w:type="dxa" w:w="182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Proposed inference</w:t>
            </w:r>
          </w:p>
        </w:tc>
        <w:tc>
          <w:tcPr>
            <w:tcW w:type="dxa" w:w="169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Warrant required</w:t>
            </w:r>
          </w:p>
        </w:tc>
        <w:tc>
          <w:tcPr>
            <w:tcW w:type="dxa" w:w="189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Support for warrant</w:t>
            </w:r>
          </w:p>
        </w:tc>
        <w:tc>
          <w:tcPr>
            <w:tcW w:type="dxa" w:w="18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Assumption or limit</w:t>
            </w:r>
          </w:p>
        </w:tc>
      </w:tr>
      <w:tr>
        <w:trPr>
          <w:cantSplit/>
        </w:trPr>
        <w:tc>
          <w:tcPr>
            <w:tcW w:type="dxa" w:w="118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OI-01</w:t>
            </w:r>
          </w:p>
        </w:tc>
        <w:tc>
          <w:tcPr>
            <w:tcW w:type="dxa" w:w="138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82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9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89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8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sz w:val="18"/>
        </w:rPr>
        <w:t>For testimonial evidence, decompose admissions, denials, recollection failures, and explanations into separate propositions.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971"/>
        <w:gridCol w:w="1046"/>
        <w:gridCol w:w="1272"/>
        <w:gridCol w:w="1197"/>
        <w:gridCol w:w="1686"/>
        <w:gridCol w:w="933"/>
        <w:gridCol w:w="1460"/>
        <w:gridCol w:w="1313"/>
      </w:tblGrid>
      <w:tr>
        <w:trPr>
          <w:cantSplit/>
          <w:tblHeader w:val="true"/>
        </w:trPr>
        <w:tc>
          <w:tcPr>
            <w:tcW w:type="dxa" w:w="97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Statement ID</w:t>
            </w:r>
          </w:p>
        </w:tc>
        <w:tc>
          <w:tcPr>
            <w:tcW w:type="dxa" w:w="104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Statement made</w:t>
            </w:r>
          </w:p>
        </w:tc>
        <w:tc>
          <w:tcPr>
            <w:tcW w:type="dxa" w:w="127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Proposition asserted</w:t>
            </w:r>
          </w:p>
        </w:tc>
        <w:tc>
          <w:tcPr>
            <w:tcW w:type="dxa" w:w="11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Speaker's interest</w:t>
            </w:r>
          </w:p>
        </w:tc>
        <w:tc>
          <w:tcPr>
            <w:tcW w:type="dxa" w:w="16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Contemporaneity and specificity</w:t>
            </w:r>
          </w:p>
        </w:tc>
        <w:tc>
          <w:tcPr>
            <w:tcW w:type="dxa" w:w="93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Consistency</w:t>
            </w:r>
          </w:p>
        </w:tc>
        <w:tc>
          <w:tcPr>
            <w:tcW w:type="dxa" w:w="146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Independent corroboration</w:t>
            </w:r>
          </w:p>
        </w:tc>
        <w:tc>
          <w:tcPr>
            <w:tcW w:type="dxa" w:w="13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Evidentiary treatment</w:t>
            </w:r>
          </w:p>
        </w:tc>
      </w:tr>
      <w:tr>
        <w:trPr>
          <w:cantSplit/>
        </w:trPr>
        <w:tc>
          <w:tcPr>
            <w:tcW w:type="dxa" w:w="97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TS-01</w:t>
            </w:r>
          </w:p>
        </w:tc>
        <w:tc>
          <w:tcPr>
            <w:tcW w:type="dxa" w:w="104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7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1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93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6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sz w:val="18"/>
        </w:rPr>
        <w:t>For subject-system and external analytic representations, establish the statement separately from the proposition it asserts.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1253"/>
        <w:gridCol w:w="1354"/>
        <w:gridCol w:w="1354"/>
        <w:gridCol w:w="2298"/>
        <w:gridCol w:w="1893"/>
        <w:gridCol w:w="1726"/>
      </w:tblGrid>
      <w:tr>
        <w:trPr>
          <w:cantSplit/>
          <w:tblHeader w:val="true"/>
        </w:trPr>
        <w:tc>
          <w:tcPr>
            <w:tcW w:type="dxa" w:w="125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Representation ID</w:t>
            </w:r>
          </w:p>
        </w:tc>
        <w:tc>
          <w:tcPr>
            <w:tcW w:type="dxa" w:w="135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Source and statement</w:t>
            </w:r>
          </w:p>
        </w:tc>
        <w:tc>
          <w:tcPr>
            <w:tcW w:type="dxa" w:w="135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Proposition asserted</w:t>
            </w:r>
          </w:p>
        </w:tc>
        <w:tc>
          <w:tcPr>
            <w:tcW w:type="dxa" w:w="229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Direct observation, inherited assertion, or analysis</w:t>
            </w:r>
          </w:p>
        </w:tc>
        <w:tc>
          <w:tcPr>
            <w:tcW w:type="dxa" w:w="189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Independent support or contradiction</w:t>
            </w:r>
          </w:p>
        </w:tc>
        <w:tc>
          <w:tcPr>
            <w:tcW w:type="dxa" w:w="172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Evidentiary treatment and limit</w:t>
            </w:r>
          </w:p>
        </w:tc>
      </w:tr>
      <w:tr>
        <w:trPr>
          <w:cantSplit/>
        </w:trPr>
        <w:tc>
          <w:tcPr>
            <w:tcW w:type="dxa" w:w="125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SR-01</w:t>
            </w:r>
          </w:p>
        </w:tc>
        <w:tc>
          <w:tcPr>
            <w:tcW w:type="dxa" w:w="135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5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29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89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72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sz w:val="18"/>
        </w:rPr>
        <w:t>For model reasoning, plans, summaries, scratchpads, or explanations, record narrow proof and prohibited inferences.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1134"/>
        <w:gridCol w:w="1533"/>
        <w:gridCol w:w="2044"/>
        <w:gridCol w:w="1618"/>
        <w:gridCol w:w="1191"/>
        <w:gridCol w:w="1106"/>
        <w:gridCol w:w="1252"/>
      </w:tblGrid>
      <w:tr>
        <w:trPr>
          <w:cantSplit/>
          <w:tblHeader w:val="true"/>
        </w:trPr>
        <w:tc>
          <w:tcPr>
            <w:tcW w:type="dxa" w:w="113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Reasoning record</w:t>
            </w:r>
          </w:p>
        </w:tc>
        <w:tc>
          <w:tcPr>
            <w:tcW w:type="dxa" w:w="153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Architecture and capture point</w:t>
            </w:r>
          </w:p>
        </w:tc>
        <w:tc>
          <w:tcPr>
            <w:tcW w:type="dxa" w:w="204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Integrity, completeness, transformation, or redaction</w:t>
            </w:r>
          </w:p>
        </w:tc>
        <w:tc>
          <w:tcPr>
            <w:tcW w:type="dxa" w:w="161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Context and tool-call correlation</w:t>
            </w:r>
          </w:p>
        </w:tc>
        <w:tc>
          <w:tcPr>
            <w:tcW w:type="dxa" w:w="119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Inference proposed</w:t>
            </w:r>
          </w:p>
        </w:tc>
        <w:tc>
          <w:tcPr>
            <w:tcW w:type="dxa" w:w="110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Permitted proof</w:t>
            </w:r>
          </w:p>
        </w:tc>
        <w:tc>
          <w:tcPr>
            <w:tcW w:type="dxa" w:w="125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Prohibited inference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RR-01</w:t>
            </w:r>
          </w:p>
        </w:tc>
        <w:tc>
          <w:tcPr>
            <w:tcW w:type="dxa" w:w="153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4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1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19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10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5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120"/>
        <w:pBdr>
          <w:bottom w:val="single" w:sz="4" w:space="1" w:color="5D7793"/>
        </w:pBdr>
      </w:pPr>
    </w:p>
    <w:p>
      <w:pPr>
        <w:pStyle w:val="Heading1"/>
        <w:keepNext/>
      </w:pPr>
      <w:r>
        <w:t>WP-05 Competing-Origin and Intervention Matrix</w:t>
      </w:r>
    </w:p>
    <w:p>
      <w:pPr>
        <w:spacing w:after="100" w:line="259" w:lineRule="auto"/>
      </w:pPr>
      <w:r>
        <w:rPr>
          <w:sz w:val="18"/>
        </w:rPr>
        <w:t>An alternative must pass both the plausibility and materiality gates.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822"/>
        <w:gridCol w:w="752"/>
        <w:gridCol w:w="962"/>
        <w:gridCol w:w="1148"/>
        <w:gridCol w:w="938"/>
        <w:gridCol w:w="1171"/>
        <w:gridCol w:w="1241"/>
        <w:gridCol w:w="962"/>
        <w:gridCol w:w="1171"/>
        <w:gridCol w:w="711"/>
      </w:tblGrid>
      <w:tr>
        <w:trPr>
          <w:cantSplit/>
          <w:tblHeader w:val="true"/>
        </w:trPr>
        <w:tc>
          <w:tcPr>
            <w:tcW w:type="dxa" w:w="82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Transition ID</w:t>
            </w:r>
          </w:p>
        </w:tc>
        <w:tc>
          <w:tcPr>
            <w:tcW w:type="dxa" w:w="75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Hypothesis</w:t>
            </w:r>
          </w:p>
        </w:tc>
        <w:tc>
          <w:tcPr>
            <w:tcW w:type="dxa" w:w="96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Plausibility anchor</w:t>
            </w:r>
          </w:p>
        </w:tc>
        <w:tc>
          <w:tcPr>
            <w:tcW w:type="dxa" w:w="11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Material effect if accepted</w:t>
            </w:r>
          </w:p>
        </w:tc>
        <w:tc>
          <w:tcPr>
            <w:tcW w:type="dxa" w:w="93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Originating source</w:t>
            </w:r>
          </w:p>
        </w:tc>
        <w:tc>
          <w:tcPr>
            <w:tcW w:type="dxa" w:w="117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Immediate influencing source</w:t>
            </w:r>
          </w:p>
        </w:tc>
        <w:tc>
          <w:tcPr>
            <w:tcW w:type="dxa" w:w="124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Content or trust transformation</w:t>
            </w:r>
          </w:p>
        </w:tc>
        <w:tc>
          <w:tcPr>
            <w:tcW w:type="dxa" w:w="96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Supporting evidence</w:t>
            </w:r>
          </w:p>
        </w:tc>
        <w:tc>
          <w:tcPr>
            <w:tcW w:type="dxa" w:w="117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Contrary or missing evidence</w:t>
            </w:r>
          </w:p>
        </w:tc>
        <w:tc>
          <w:tcPr>
            <w:tcW w:type="dxa" w:w="71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Status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T-01</w:t>
            </w:r>
          </w:p>
        </w:tc>
        <w:tc>
          <w:tcPr>
            <w:tcW w:type="dxa" w:w="75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96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14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93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17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4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96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17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1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120"/>
        <w:pBdr>
          <w:bottom w:val="single" w:sz="4" w:space="1" w:color="5D7793"/>
        </w:pBdr>
      </w:pPr>
    </w:p>
    <w:p>
      <w:pPr>
        <w:pStyle w:val="Heading1"/>
        <w:keepNext/>
      </w:pPr>
      <w:r>
        <w:t>WP-06 Transition Adjudication Matrix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942"/>
        <w:gridCol w:w="877"/>
        <w:gridCol w:w="1169"/>
        <w:gridCol w:w="1559"/>
        <w:gridCol w:w="1819"/>
        <w:gridCol w:w="1527"/>
        <w:gridCol w:w="779"/>
        <w:gridCol w:w="1206"/>
      </w:tblGrid>
      <w:tr>
        <w:trPr>
          <w:cantSplit/>
          <w:tblHeader w:val="true"/>
        </w:trPr>
        <w:tc>
          <w:tcPr>
            <w:tcW w:type="dxa" w:w="9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Transition ID</w:t>
            </w:r>
          </w:p>
        </w:tc>
        <w:tc>
          <w:tcPr>
            <w:tcW w:type="dxa" w:w="87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Proposition</w:t>
            </w:r>
          </w:p>
        </w:tc>
        <w:tc>
          <w:tcPr>
            <w:tcW w:type="dxa" w:w="116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Evidence relied upon</w:t>
            </w:r>
          </w:p>
        </w:tc>
        <w:tc>
          <w:tcPr>
            <w:tcW w:type="dxa" w:w="155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Proposition-specific convergence</w:t>
            </w:r>
          </w:p>
        </w:tc>
        <w:tc>
          <w:tcPr>
            <w:tcW w:type="dxa" w:w="181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Zemi classification or scope disposition</w:t>
            </w:r>
          </w:p>
        </w:tc>
        <w:tc>
          <w:tcPr>
            <w:tcW w:type="dxa" w:w="152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Exhaustion basis, if applicable</w:t>
            </w:r>
          </w:p>
        </w:tc>
        <w:tc>
          <w:tcPr>
            <w:tcW w:type="dxa" w:w="77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Reason</w:t>
            </w:r>
          </w:p>
        </w:tc>
        <w:tc>
          <w:tcPr>
            <w:tcW w:type="dxa" w:w="120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Effect on attribution</w:t>
            </w:r>
          </w:p>
        </w:tc>
      </w:tr>
      <w:tr>
        <w:trPr>
          <w:cantSplit/>
        </w:trPr>
        <w:tc>
          <w:tcPr>
            <w:tcW w:type="dxa" w:w="9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T-01</w:t>
            </w:r>
          </w:p>
        </w:tc>
        <w:tc>
          <w:tcPr>
            <w:tcW w:type="dxa" w:w="87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16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5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81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2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7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0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pStyle w:val="Heading2"/>
        <w:keepNext/>
      </w:pPr>
      <w:r>
        <w:t>Exhaustion record</w:t>
      </w:r>
    </w:p>
    <w:p>
      <w:pPr>
        <w:spacing w:after="100" w:line="259" w:lineRule="auto"/>
      </w:pPr>
      <w:r>
        <w:rPr>
          <w:sz w:val="18"/>
        </w:rPr>
        <w:t>Complete before assigning an exhausted status.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805"/>
        <w:gridCol w:w="909"/>
        <w:gridCol w:w="1299"/>
        <w:gridCol w:w="1351"/>
        <w:gridCol w:w="1325"/>
        <w:gridCol w:w="1273"/>
        <w:gridCol w:w="1767"/>
        <w:gridCol w:w="1149"/>
      </w:tblGrid>
      <w:tr>
        <w:trPr>
          <w:cantSplit/>
          <w:tblHeader w:val="true"/>
        </w:trPr>
        <w:tc>
          <w:tcPr>
            <w:tcW w:type="dxa" w:w="80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Proposition</w:t>
            </w:r>
          </w:p>
        </w:tc>
        <w:tc>
          <w:tcPr>
            <w:tcW w:type="dxa" w:w="90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Evidence sought</w:t>
            </w:r>
          </w:p>
        </w:tc>
        <w:tc>
          <w:tcPr>
            <w:tcW w:type="dxa" w:w="129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Systems and custodians checked</w:t>
            </w:r>
          </w:p>
        </w:tc>
        <w:tc>
          <w:tcPr>
            <w:tcW w:type="dxa" w:w="135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Material-time and scope coverage</w:t>
            </w:r>
          </w:p>
        </w:tc>
        <w:tc>
          <w:tcPr>
            <w:tcW w:type="dxa" w:w="132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Acquisition steps and authority</w:t>
            </w:r>
          </w:p>
        </w:tc>
        <w:tc>
          <w:tcPr>
            <w:tcW w:type="dxa" w:w="127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Provider or witness responses</w:t>
            </w:r>
          </w:p>
        </w:tc>
        <w:tc>
          <w:tcPr>
            <w:tcW w:type="dxa" w:w="176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Why further inquiry is unavailable or disproportionate</w:t>
            </w:r>
          </w:p>
        </w:tc>
        <w:tc>
          <w:tcPr>
            <w:tcW w:type="dxa" w:w="114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Exhausted state selected</w:t>
            </w:r>
          </w:p>
        </w:tc>
      </w:tr>
      <w:tr>
        <w:trPr>
          <w:cantSplit/>
        </w:trPr>
        <w:tc>
          <w:tcPr>
            <w:tcW w:type="dxa" w:w="80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90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9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5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2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7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76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14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120"/>
        <w:pBdr>
          <w:bottom w:val="single" w:sz="4" w:space="1" w:color="5D7793"/>
        </w:pBdr>
      </w:pPr>
    </w:p>
    <w:p>
      <w:pPr>
        <w:pStyle w:val="Heading1"/>
        <w:keepNext/>
      </w:pPr>
      <w:r>
        <w:t>WP-07 Discontinuity Schedule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724"/>
        <w:gridCol w:w="1416"/>
        <w:gridCol w:w="955"/>
        <w:gridCol w:w="1749"/>
        <w:gridCol w:w="878"/>
        <w:gridCol w:w="955"/>
        <w:gridCol w:w="1083"/>
        <w:gridCol w:w="980"/>
        <w:gridCol w:w="1138"/>
      </w:tblGrid>
      <w:tr>
        <w:trPr>
          <w:cantSplit/>
          <w:tblHeader w:val="true"/>
        </w:trPr>
        <w:tc>
          <w:tcPr>
            <w:tcW w:type="dxa" w:w="72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HAAD ID</w:t>
            </w:r>
          </w:p>
        </w:tc>
        <w:tc>
          <w:tcPr>
            <w:tcW w:type="dxa" w:w="141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Canonical dimension: AD ID and name</w:t>
            </w:r>
          </w:p>
        </w:tc>
        <w:tc>
          <w:tcPr>
            <w:tcW w:type="dxa" w:w="95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Failure condition</w:t>
            </w:r>
          </w:p>
        </w:tc>
        <w:tc>
          <w:tcPr>
            <w:tcW w:type="dxa" w:w="174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Role: primary, co-primary, contributing, causal, or downstream</w:t>
            </w:r>
          </w:p>
        </w:tc>
        <w:tc>
          <w:tcPr>
            <w:tcW w:type="dxa" w:w="87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Graph location</w:t>
            </w:r>
          </w:p>
        </w:tc>
        <w:tc>
          <w:tcPr>
            <w:tcW w:type="dxa" w:w="95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Resolution status</w:t>
            </w:r>
          </w:p>
        </w:tc>
        <w:tc>
          <w:tcPr>
            <w:tcW w:type="dxa" w:w="108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Remaining alternatives</w:t>
            </w:r>
          </w:p>
        </w:tc>
        <w:tc>
          <w:tcPr>
            <w:tcW w:type="dxa" w:w="98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Conclusion ceiling</w:t>
            </w:r>
          </w:p>
        </w:tc>
        <w:tc>
          <w:tcPr>
            <w:tcW w:type="dxa" w:w="113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Required future evidence</w:t>
            </w:r>
          </w:p>
        </w:tc>
      </w:tr>
      <w:tr>
        <w:trPr>
          <w:cantSplit/>
        </w:trPr>
        <w:tc>
          <w:tcPr>
            <w:tcW w:type="dxa" w:w="72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H-01</w:t>
            </w:r>
          </w:p>
        </w:tc>
        <w:tc>
          <w:tcPr>
            <w:tcW w:type="dxa" w:w="141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95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74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87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95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8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98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13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sz w:val="18"/>
        </w:rPr>
        <w:t>Primary discontinuity: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7981"/>
        <w:gridCol w:w="1897"/>
      </w:tblGrid>
      <w:tr>
        <w:trPr>
          <w:cantSplit/>
          <w:tblHeader w:val="true"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Field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Entry</w:t>
            </w: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Scoped attribution proposition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Earliest independently ceiling-setting transition on that causal path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Why downstream evidence cannot cure it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Co-primary transition, if any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120"/>
        <w:pBdr>
          <w:bottom w:val="single" w:sz="4" w:space="1" w:color="5D7793"/>
        </w:pBdr>
      </w:pPr>
    </w:p>
    <w:p>
      <w:pPr>
        <w:pStyle w:val="Heading1"/>
        <w:keepNext/>
      </w:pPr>
      <w:r>
        <w:t>WP-08 Bounded Attribution Conclusion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3213"/>
        <w:gridCol w:w="1186"/>
        <w:gridCol w:w="2897"/>
        <w:gridCol w:w="2582"/>
      </w:tblGrid>
      <w:tr>
        <w:trPr>
          <w:cantSplit/>
          <w:tblHeader w:val="true"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Conclusion layer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Finding</w:t>
            </w: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Classification or scope disposition</w:t>
            </w: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Attribution boundary and basis</w:t>
            </w: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Attempted action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External action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Successful completion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Resulting effect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Demonstrated harm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Mitigation and recovery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Technical actor and execution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Credential or account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Human identity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Natural-person control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Authorship of the material interaction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Instruction origin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Knowing authorization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Voluntariness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Scope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Knowledge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Intent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Delegation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Causal contribution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Individual investigative attribution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Organizational investigative attribution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1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Responsibility referral</w:t>
            </w:r>
          </w:p>
        </w:tc>
        <w:tc>
          <w:tcPr>
            <w:tcW w:type="dxa" w:w="11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5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sz w:val="18"/>
        </w:rPr>
        <w:t>Required bounded conclusion: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7981"/>
        <w:gridCol w:w="1897"/>
      </w:tblGrid>
      <w:tr>
        <w:trPr>
          <w:cantSplit/>
          <w:tblHeader w:val="true"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Field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Entry</w:t>
            </w: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Nearest established actor or state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Transition at which attribution stops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Weakest material transition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Conclusion that would exceed the evidence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No demonstrated discontinuity within scope, if applicable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Express limitations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Unit of analysis and prohibited generalization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9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Cross-run dependence and permitted replication claim</w:t>
            </w:r>
          </w:p>
        </w:tc>
        <w:tc>
          <w:tcPr>
            <w:tcW w:type="dxa" w:w="18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120"/>
        <w:pBdr>
          <w:bottom w:val="single" w:sz="4" w:space="1" w:color="5D7793"/>
        </w:pBdr>
      </w:pPr>
    </w:p>
    <w:p>
      <w:pPr>
        <w:pStyle w:val="Heading1"/>
        <w:keepNext/>
      </w:pPr>
      <w:r>
        <w:t>WP-09 Assurance and Readiness Return</w:t>
      </w:r>
    </w:p>
    <w:p>
      <w:pPr>
        <w:spacing w:after="100" w:line="259" w:lineRule="auto"/>
      </w:pPr>
      <w:r>
        <w:rPr>
          <w:sz w:val="18"/>
        </w:rPr>
        <w:t>Record prospective requirements separately from retrospective findings. A recommended future control does not establish that the historical transition occurred.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1282"/>
        <w:gridCol w:w="2442"/>
        <w:gridCol w:w="2442"/>
        <w:gridCol w:w="1051"/>
        <w:gridCol w:w="1051"/>
        <w:gridCol w:w="1610"/>
      </w:tblGrid>
      <w:tr>
        <w:trPr>
          <w:cantSplit/>
          <w:tblHeader w:val="true"/>
        </w:trPr>
        <w:tc>
          <w:tcPr>
            <w:tcW w:type="dxa" w:w="12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Discontinuity</w:t>
            </w:r>
          </w:p>
        </w:tc>
        <w:tc>
          <w:tcPr>
            <w:tcW w:type="dxa" w:w="24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Evidence that was absent or unreliable</w:t>
            </w:r>
          </w:p>
        </w:tc>
        <w:tc>
          <w:tcPr>
            <w:tcW w:type="dxa" w:w="24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Control or instrumentation requirement</w:t>
            </w:r>
          </w:p>
        </w:tc>
        <w:tc>
          <w:tcPr>
            <w:tcW w:type="dxa" w:w="105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Owner</w:t>
            </w:r>
          </w:p>
        </w:tc>
        <w:tc>
          <w:tcPr>
            <w:tcW w:type="dxa" w:w="105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Priority</w:t>
            </w:r>
          </w:p>
        </w:tc>
        <w:tc>
          <w:tcPr>
            <w:tcW w:type="dxa" w:w="161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Reassessment trigger</w:t>
            </w:r>
          </w:p>
        </w:tc>
      </w:tr>
      <w:tr>
        <w:trPr>
          <w:cantSplit/>
        </w:trPr>
        <w:tc>
          <w:tcPr>
            <w:tcW w:type="dxa" w:w="128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H-01</w:t>
            </w:r>
          </w:p>
        </w:tc>
        <w:tc>
          <w:tcPr>
            <w:tcW w:type="dxa" w:w="24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4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5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5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1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120"/>
        <w:pBdr>
          <w:bottom w:val="single" w:sz="4" w:space="1" w:color="5D7793"/>
        </w:pBdr>
      </w:pPr>
    </w:p>
    <w:p>
      <w:pPr>
        <w:pStyle w:val="Heading1"/>
        <w:keepNext/>
      </w:pPr>
      <w:r>
        <w:t>WP-10 Organizational Attribution Path</w:t>
      </w:r>
    </w:p>
    <w:p>
      <w:pPr>
        <w:spacing w:after="100" w:line="259" w:lineRule="auto"/>
      </w:pPr>
      <w:r>
        <w:rPr>
          <w:sz w:val="18"/>
        </w:rPr>
        <w:t>Complete for Enhanced application and whenever organizational attribution is in scope.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857"/>
        <w:gridCol w:w="1351"/>
        <w:gridCol w:w="1767"/>
        <w:gridCol w:w="1767"/>
        <w:gridCol w:w="727"/>
        <w:gridCol w:w="883"/>
        <w:gridCol w:w="1455"/>
        <w:gridCol w:w="1071"/>
      </w:tblGrid>
      <w:tr>
        <w:trPr>
          <w:cantSplit/>
          <w:tblHeader w:val="true"/>
        </w:trPr>
        <w:tc>
          <w:tcPr>
            <w:tcW w:type="dxa" w:w="85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Transition ID</w:t>
            </w:r>
          </w:p>
        </w:tc>
        <w:tc>
          <w:tcPr>
            <w:tcW w:type="dxa" w:w="135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Organizational actor or function</w:t>
            </w:r>
          </w:p>
        </w:tc>
        <w:tc>
          <w:tcPr>
            <w:tcW w:type="dxa" w:w="176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Role: governing, risk, selection, development, operation, identity, control, monitoring, or response</w:t>
            </w:r>
          </w:p>
        </w:tc>
        <w:tc>
          <w:tcPr>
            <w:tcW w:type="dxa" w:w="176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Decision, authority, notice, control, intervention, or enforcement proposition</w:t>
            </w:r>
          </w:p>
        </w:tc>
        <w:tc>
          <w:tcPr>
            <w:tcW w:type="dxa" w:w="72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Evidence</w:t>
            </w:r>
          </w:p>
        </w:tc>
        <w:tc>
          <w:tcPr>
            <w:tcW w:type="dxa" w:w="88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Classification</w:t>
            </w:r>
          </w:p>
        </w:tc>
        <w:tc>
          <w:tcPr>
            <w:tcW w:type="dxa" w:w="145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Effect on organizational attribution</w:t>
            </w:r>
          </w:p>
        </w:tc>
        <w:tc>
          <w:tcPr>
            <w:tcW w:type="dxa" w:w="107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Readiness implication</w:t>
            </w:r>
          </w:p>
        </w:tc>
      </w:tr>
      <w:tr>
        <w:trPr>
          <w:cantSplit/>
        </w:trPr>
        <w:tc>
          <w:tcPr>
            <w:tcW w:type="dxa" w:w="85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OT-01</w:t>
            </w:r>
          </w:p>
        </w:tc>
        <w:tc>
          <w:tcPr>
            <w:tcW w:type="dxa" w:w="135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76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76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72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88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5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7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sz w:val="18"/>
        </w:rPr>
        <w:t>Where a threat cluster, parent organization, government, sponsor, or other higher-level actor is proposed, complete one row per layer.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1685"/>
        <w:gridCol w:w="1094"/>
        <w:gridCol w:w="1242"/>
        <w:gridCol w:w="1242"/>
        <w:gridCol w:w="1745"/>
        <w:gridCol w:w="1419"/>
        <w:gridCol w:w="1451"/>
      </w:tblGrid>
      <w:tr>
        <w:trPr>
          <w:cantSplit/>
          <w:tblHeader w:val="true"/>
        </w:trPr>
        <w:tc>
          <w:tcPr>
            <w:tcW w:type="dxa" w:w="168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Actor layer</w:t>
            </w:r>
          </w:p>
        </w:tc>
        <w:tc>
          <w:tcPr>
            <w:tcW w:type="dxa" w:w="10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Proposed actor</w:t>
            </w:r>
          </w:p>
        </w:tc>
        <w:tc>
          <w:tcPr>
            <w:tcW w:type="dxa" w:w="12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Linking proposition</w:t>
            </w:r>
          </w:p>
        </w:tc>
        <w:tc>
          <w:tcPr>
            <w:tcW w:type="dxa" w:w="12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Accessible evidence</w:t>
            </w:r>
          </w:p>
        </w:tc>
        <w:tc>
          <w:tcPr>
            <w:tcW w:type="dxa" w:w="174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Source-attributed assessment, if any</w:t>
            </w:r>
          </w:p>
        </w:tc>
        <w:tc>
          <w:tcPr>
            <w:tcW w:type="dxa" w:w="141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Independent corroboration</w:t>
            </w:r>
          </w:p>
        </w:tc>
        <w:tc>
          <w:tcPr>
            <w:tcW w:type="dxa" w:w="145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Classification and ceiling</w:t>
            </w: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Technical executor</w:t>
            </w:r>
          </w:p>
        </w:tc>
        <w:tc>
          <w:tcPr>
            <w:tcW w:type="dxa" w:w="10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74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1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5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Account or infrastructure operator</w:t>
            </w:r>
          </w:p>
        </w:tc>
        <w:tc>
          <w:tcPr>
            <w:tcW w:type="dxa" w:w="10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74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1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5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Natural person or team</w:t>
            </w:r>
          </w:p>
        </w:tc>
        <w:tc>
          <w:tcPr>
            <w:tcW w:type="dxa" w:w="10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74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1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5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Analytic cluster</w:t>
            </w:r>
          </w:p>
        </w:tc>
        <w:tc>
          <w:tcPr>
            <w:tcW w:type="dxa" w:w="10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74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1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5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Organization</w:t>
            </w:r>
          </w:p>
        </w:tc>
        <w:tc>
          <w:tcPr>
            <w:tcW w:type="dxa" w:w="10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74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1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5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68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Sponsor or state</w:t>
            </w:r>
          </w:p>
        </w:tc>
        <w:tc>
          <w:tcPr>
            <w:tcW w:type="dxa" w:w="10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74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1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5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pStyle w:val="Heading1"/>
        <w:keepNext/>
      </w:pPr>
      <w:r>
        <w:t>WP-11 MCP-Mediated Action Profile</w:t>
      </w:r>
    </w:p>
    <w:p>
      <w:pPr>
        <w:spacing w:after="100" w:line="259" w:lineRule="auto"/>
      </w:pPr>
      <w:r>
        <w:rPr>
          <w:sz w:val="18"/>
        </w:rPr>
        <w:t>Complete when an MCP client, server, tool, task, or downstream service is material. Do not collapse the chain into a single “tool use” event.</w:t>
      </w:r>
    </w:p>
    <w:p>
      <w:pPr>
        <w:pStyle w:val="Heading2"/>
        <w:keepNext/>
      </w:pPr>
      <w:r>
        <w:t>A. Component and definition record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1611"/>
        <w:gridCol w:w="1715"/>
        <w:gridCol w:w="1508"/>
        <w:gridCol w:w="1956"/>
        <w:gridCol w:w="1301"/>
        <w:gridCol w:w="1787"/>
      </w:tblGrid>
      <w:tr>
        <w:trPr>
          <w:cantSplit/>
          <w:tblHeader w:val="true"/>
        </w:trPr>
        <w:tc>
          <w:tcPr>
            <w:tcW w:type="dxa" w:w="161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Component</w:t>
            </w:r>
          </w:p>
        </w:tc>
        <w:tc>
          <w:tcPr>
            <w:tcW w:type="dxa" w:w="171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Product, version, and instance</w:t>
            </w:r>
          </w:p>
        </w:tc>
        <w:tc>
          <w:tcPr>
            <w:tcW w:type="dxa" w:w="150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Operator or trust domain</w:t>
            </w:r>
          </w:p>
        </w:tc>
        <w:tc>
          <w:tcPr>
            <w:tcW w:type="dxa" w:w="195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Effective configuration or definition</w:t>
            </w:r>
          </w:p>
        </w:tc>
        <w:tc>
          <w:tcPr>
            <w:tcW w:type="dxa" w:w="130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Acquisition source</w:t>
            </w:r>
          </w:p>
        </w:tc>
        <w:tc>
          <w:tcPr>
            <w:tcW w:type="dxa" w:w="178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Integrity and completeness limit</w:t>
            </w:r>
          </w:p>
        </w:tc>
      </w:tr>
      <w:tr>
        <w:trPr>
          <w:cantSplit/>
        </w:trPr>
        <w:tc>
          <w:tcPr>
            <w:tcW w:type="dxa" w:w="161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Host application</w:t>
            </w:r>
          </w:p>
        </w:tc>
        <w:tc>
          <w:tcPr>
            <w:tcW w:type="dxa" w:w="171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95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0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78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61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Model or agent</w:t>
            </w:r>
          </w:p>
        </w:tc>
        <w:tc>
          <w:tcPr>
            <w:tcW w:type="dxa" w:w="171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95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0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78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61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MCP client</w:t>
            </w:r>
          </w:p>
        </w:tc>
        <w:tc>
          <w:tcPr>
            <w:tcW w:type="dxa" w:w="171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95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0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78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61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MCP server</w:t>
            </w:r>
          </w:p>
        </w:tc>
        <w:tc>
          <w:tcPr>
            <w:tcW w:type="dxa" w:w="171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95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0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78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61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Tool</w:t>
            </w:r>
          </w:p>
        </w:tc>
        <w:tc>
          <w:tcPr>
            <w:tcW w:type="dxa" w:w="171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95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0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78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61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Downstream service</w:t>
            </w:r>
          </w:p>
        </w:tc>
        <w:tc>
          <w:tcPr>
            <w:tcW w:type="dxa" w:w="171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95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0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78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61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Package or deployed handler</w:t>
            </w:r>
          </w:p>
        </w:tc>
        <w:tc>
          <w:tcPr>
            <w:tcW w:type="dxa" w:w="171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95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0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78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pStyle w:val="Heading2"/>
        <w:keepNext/>
      </w:pPr>
      <w:r>
        <w:t>B. Protocol transition register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1500"/>
        <w:gridCol w:w="783"/>
        <w:gridCol w:w="1333"/>
        <w:gridCol w:w="1261"/>
        <w:gridCol w:w="1500"/>
        <w:gridCol w:w="1309"/>
        <w:gridCol w:w="1094"/>
        <w:gridCol w:w="1098"/>
      </w:tblGrid>
      <w:tr>
        <w:trPr>
          <w:cantSplit/>
          <w:tblHeader w:val="true"/>
        </w:trPr>
        <w:tc>
          <w:tcPr>
            <w:tcW w:type="dxa" w:w="150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Transition</w:t>
            </w:r>
          </w:p>
        </w:tc>
        <w:tc>
          <w:tcPr>
            <w:tcW w:type="dxa" w:w="78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Proposition</w:t>
            </w:r>
          </w:p>
        </w:tc>
        <w:tc>
          <w:tcPr>
            <w:tcW w:type="dxa" w:w="133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Request, response, or state record</w:t>
            </w:r>
          </w:p>
        </w:tc>
        <w:tc>
          <w:tcPr>
            <w:tcW w:type="dxa" w:w="126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Correlation identifier and time</w:t>
            </w:r>
          </w:p>
        </w:tc>
        <w:tc>
          <w:tcPr>
            <w:tcW w:type="dxa" w:w="150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Authorization, scope, or consent evidence</w:t>
            </w:r>
          </w:p>
        </w:tc>
        <w:tc>
          <w:tcPr>
            <w:tcW w:type="dxa" w:w="130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Parameter or trust transformation</w:t>
            </w:r>
          </w:p>
        </w:tc>
        <w:tc>
          <w:tcPr>
            <w:tcW w:type="dxa" w:w="10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Downstream corroboration</w:t>
            </w:r>
          </w:p>
        </w:tc>
        <w:tc>
          <w:tcPr>
            <w:tcW w:type="dxa" w:w="109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Classification and limit</w:t>
            </w: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Natural person → host interaction</w:t>
            </w:r>
          </w:p>
        </w:tc>
        <w:tc>
          <w:tcPr>
            <w:tcW w:type="dxa" w:w="78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3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6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0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9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Host → model or agent</w:t>
            </w:r>
          </w:p>
        </w:tc>
        <w:tc>
          <w:tcPr>
            <w:tcW w:type="dxa" w:w="78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3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6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0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9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Model or agent → MCP client</w:t>
            </w:r>
          </w:p>
        </w:tc>
        <w:tc>
          <w:tcPr>
            <w:tcW w:type="dxa" w:w="78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3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6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0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9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MCP client → MCP server</w:t>
            </w:r>
          </w:p>
        </w:tc>
        <w:tc>
          <w:tcPr>
            <w:tcW w:type="dxa" w:w="78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3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6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0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9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MCP server → tool</w:t>
            </w:r>
          </w:p>
        </w:tc>
        <w:tc>
          <w:tcPr>
            <w:tcW w:type="dxa" w:w="78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3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6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0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9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Tool → downstream service</w:t>
            </w:r>
          </w:p>
        </w:tc>
        <w:tc>
          <w:tcPr>
            <w:tcW w:type="dxa" w:w="78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3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6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0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9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150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2"/>
              </w:rPr>
              <w:t>Downstream service → consequential action</w:t>
            </w:r>
          </w:p>
        </w:tc>
        <w:tc>
          <w:tcPr>
            <w:tcW w:type="dxa" w:w="78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3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6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0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0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09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100" w:line="259" w:lineRule="auto"/>
      </w:pPr>
      <w:r>
        <w:rPr>
          <w:sz w:val="18"/>
        </w:rPr>
        <w:t>Append one row for every additional downstream action produced by the same invocation.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1615"/>
        <w:gridCol w:w="1235"/>
        <w:gridCol w:w="1235"/>
        <w:gridCol w:w="1586"/>
        <w:gridCol w:w="1498"/>
        <w:gridCol w:w="1147"/>
        <w:gridCol w:w="1562"/>
      </w:tblGrid>
      <w:tr>
        <w:trPr>
          <w:cantSplit/>
          <w:tblHeader w:val="true"/>
        </w:trPr>
        <w:tc>
          <w:tcPr>
            <w:tcW w:type="dxa" w:w="161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Authorized or represented action</w:t>
            </w:r>
          </w:p>
        </w:tc>
        <w:tc>
          <w:tcPr>
            <w:tcW w:type="dxa" w:w="12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Arguments at client</w:t>
            </w:r>
          </w:p>
        </w:tc>
        <w:tc>
          <w:tcPr>
            <w:tcW w:type="dxa" w:w="12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Arguments at server</w:t>
            </w:r>
          </w:p>
        </w:tc>
        <w:tc>
          <w:tcPr>
            <w:tcW w:type="dxa" w:w="15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Handler or implementation delta</w:t>
            </w:r>
          </w:p>
        </w:tc>
        <w:tc>
          <w:tcPr>
            <w:tcW w:type="dxa" w:w="149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Effective downstream request</w:t>
            </w:r>
          </w:p>
        </w:tc>
        <w:tc>
          <w:tcPr>
            <w:tcW w:type="dxa" w:w="11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Resulting action</w:t>
            </w:r>
          </w:p>
        </w:tc>
        <w:tc>
          <w:tcPr>
            <w:tcW w:type="dxa" w:w="156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Authorization and scope effect</w:t>
            </w:r>
          </w:p>
        </w:tc>
      </w:tr>
      <w:tr>
        <w:trPr>
          <w:cantSplit/>
        </w:trPr>
        <w:tc>
          <w:tcPr>
            <w:tcW w:type="dxa" w:w="161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8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9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14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56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pStyle w:val="Heading2"/>
        <w:keepNext/>
      </w:pPr>
      <w:r>
        <w:t>C. Preservation checklist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4640"/>
        <w:gridCol w:w="1835"/>
        <w:gridCol w:w="3403"/>
      </w:tblGrid>
      <w:tr>
        <w:trPr>
          <w:cantSplit/>
          <w:tblHeader w:val="true"/>
        </w:trPr>
        <w:tc>
          <w:tcPr>
            <w:tcW w:type="dxa" w:w="464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Item</w:t>
            </w:r>
          </w:p>
        </w:tc>
        <w:tc>
          <w:tcPr>
            <w:tcW w:type="dxa" w:w="18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Preserved</w:t>
            </w:r>
          </w:p>
        </w:tc>
        <w:tc>
          <w:tcPr>
            <w:tcW w:type="dxa" w:w="34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Evidence ID or reason unavailable</w:t>
            </w:r>
          </w:p>
        </w:tc>
      </w:tr>
      <w:tr>
        <w:trPr>
          <w:cantSplit/>
        </w:trPr>
        <w:tc>
          <w:tcPr>
            <w:tcW w:type="dxa" w:w="464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Effective tool catalogue, description, schema, annotations, and refresh state</w:t>
            </w:r>
          </w:p>
        </w:tc>
        <w:tc>
          <w:tcPr>
            <w:tcW w:type="dxa" w:w="18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Yes / No / N/A</w:t>
            </w:r>
          </w:p>
        </w:tc>
        <w:tc>
          <w:tcPr>
            <w:tcW w:type="dxa" w:w="34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464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Package, publisher, repository, vendor-authorization, handler-code, deployment, hash, signature, dependency, and update records</w:t>
            </w:r>
          </w:p>
        </w:tc>
        <w:tc>
          <w:tcPr>
            <w:tcW w:type="dxa" w:w="18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Yes / No / N/A</w:t>
            </w:r>
          </w:p>
        </w:tc>
        <w:tc>
          <w:tcPr>
            <w:tcW w:type="dxa" w:w="34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464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User and system instructions and relevant context</w:t>
            </w:r>
          </w:p>
        </w:tc>
        <w:tc>
          <w:tcPr>
            <w:tcW w:type="dxa" w:w="18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Yes / No / N/A</w:t>
            </w:r>
          </w:p>
        </w:tc>
        <w:tc>
          <w:tcPr>
            <w:tcW w:type="dxa" w:w="34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464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Model-generated tool call and argument transformations</w:t>
            </w:r>
          </w:p>
        </w:tc>
        <w:tc>
          <w:tcPr>
            <w:tcW w:type="dxa" w:w="18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Yes / No / N/A</w:t>
            </w:r>
          </w:p>
        </w:tc>
        <w:tc>
          <w:tcPr>
            <w:tcW w:type="dxa" w:w="34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464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Protocol requests, responses, IDs, timestamps, retries, errors, and cancellations</w:t>
            </w:r>
          </w:p>
        </w:tc>
        <w:tc>
          <w:tcPr>
            <w:tcW w:type="dxa" w:w="18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Yes / No / N/A</w:t>
            </w:r>
          </w:p>
        </w:tc>
        <w:tc>
          <w:tcPr>
            <w:tcW w:type="dxa" w:w="34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464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Authorization subject, audience, scopes, elevation, revocation, and consent records</w:t>
            </w:r>
          </w:p>
        </w:tc>
        <w:tc>
          <w:tcPr>
            <w:tcW w:type="dxa" w:w="18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Yes / No / N/A</w:t>
            </w:r>
          </w:p>
        </w:tc>
        <w:tc>
          <w:tcPr>
            <w:tcW w:type="dxa" w:w="34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464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Confirmation or elicitation wording, material parameters shown, server identity, and response</w:t>
            </w:r>
          </w:p>
        </w:tc>
        <w:tc>
          <w:tcPr>
            <w:tcW w:type="dxa" w:w="18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Yes / No / N/A</w:t>
            </w:r>
          </w:p>
        </w:tc>
        <w:tc>
          <w:tcPr>
            <w:tcW w:type="dxa" w:w="34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464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Positive authorization source, authority, effective target, decision basis, risk, and consequence presented</w:t>
            </w:r>
          </w:p>
        </w:tc>
        <w:tc>
          <w:tcPr>
            <w:tcW w:type="dxa" w:w="18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Yes / No / N/A</w:t>
            </w:r>
          </w:p>
        </w:tc>
        <w:tc>
          <w:tcPr>
            <w:tcW w:type="dxa" w:w="34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464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Task or state handles, resumptions, and identity binding</w:t>
            </w:r>
          </w:p>
        </w:tc>
        <w:tc>
          <w:tcPr>
            <w:tcW w:type="dxa" w:w="18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Yes / No / N/A</w:t>
            </w:r>
          </w:p>
        </w:tc>
        <w:tc>
          <w:tcPr>
            <w:tcW w:type="dxa" w:w="34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464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Trace context and downstream correlation</w:t>
            </w:r>
          </w:p>
        </w:tc>
        <w:tc>
          <w:tcPr>
            <w:tcW w:type="dxa" w:w="18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Yes / No / N/A</w:t>
            </w:r>
          </w:p>
        </w:tc>
        <w:tc>
          <w:tcPr>
            <w:tcW w:type="dxa" w:w="34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464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Downstream action or transaction record</w:t>
            </w:r>
          </w:p>
        </w:tc>
        <w:tc>
          <w:tcPr>
            <w:tcW w:type="dxa" w:w="18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Yes / No / N/A</w:t>
            </w:r>
          </w:p>
        </w:tc>
        <w:tc>
          <w:tcPr>
            <w:tcW w:type="dxa" w:w="34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464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Separate correlation for every downstream action or secondary consequence</w:t>
            </w:r>
          </w:p>
        </w:tc>
        <w:tc>
          <w:tcPr>
            <w:tcW w:type="dxa" w:w="18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Yes / No / N/A</w:t>
            </w:r>
          </w:p>
        </w:tc>
        <w:tc>
          <w:tcPr>
            <w:tcW w:type="dxa" w:w="34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464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Logging coverage, clock synchronization, retention, and alteration capability</w:t>
            </w:r>
          </w:p>
        </w:tc>
        <w:tc>
          <w:tcPr>
            <w:tcW w:type="dxa" w:w="18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Yes / No / N/A</w:t>
            </w:r>
          </w:p>
        </w:tc>
        <w:tc>
          <w:tcPr>
            <w:tcW w:type="dxa" w:w="34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pStyle w:val="Heading2"/>
        <w:keepNext/>
      </w:pPr>
      <w:r>
        <w:t>D. Bounded MCP findings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3238"/>
        <w:gridCol w:w="1605"/>
        <w:gridCol w:w="1496"/>
        <w:gridCol w:w="1442"/>
        <w:gridCol w:w="2097"/>
      </w:tblGrid>
      <w:tr>
        <w:trPr>
          <w:cantSplit/>
          <w:tblHeader w:val="true"/>
        </w:trPr>
        <w:tc>
          <w:tcPr>
            <w:tcW w:type="dxa" w:w="323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Proposition</w:t>
            </w:r>
          </w:p>
        </w:tc>
        <w:tc>
          <w:tcPr>
            <w:tcW w:type="dxa" w:w="160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Finding and basis</w:t>
            </w:r>
          </w:p>
        </w:tc>
        <w:tc>
          <w:tcPr>
            <w:tcW w:type="dxa" w:w="149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HAAD dimensions</w:t>
            </w:r>
          </w:p>
        </w:tc>
        <w:tc>
          <w:tcPr>
            <w:tcW w:type="dxa" w:w="14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Classification</w:t>
            </w:r>
          </w:p>
        </w:tc>
        <w:tc>
          <w:tcPr>
            <w:tcW w:type="dxa" w:w="20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Attribution stopping point</w:t>
            </w: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Authenticated client</w:t>
            </w:r>
          </w:p>
        </w:tc>
        <w:tc>
          <w:tcPr>
            <w:tcW w:type="dxa" w:w="160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9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Tool invocation</w:t>
            </w:r>
          </w:p>
        </w:tc>
        <w:tc>
          <w:tcPr>
            <w:tcW w:type="dxa" w:w="160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9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Interaction authorship</w:t>
            </w:r>
          </w:p>
        </w:tc>
        <w:tc>
          <w:tcPr>
            <w:tcW w:type="dxa" w:w="160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9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Particular-action authorization</w:t>
            </w:r>
          </w:p>
        </w:tc>
        <w:tc>
          <w:tcPr>
            <w:tcW w:type="dxa" w:w="160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9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Tool-definition integrity</w:t>
            </w:r>
          </w:p>
        </w:tc>
        <w:tc>
          <w:tcPr>
            <w:tcW w:type="dxa" w:w="160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9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Tool-implementation integrity</w:t>
            </w:r>
          </w:p>
        </w:tc>
        <w:tc>
          <w:tcPr>
            <w:tcW w:type="dxa" w:w="160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9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Authorized-argument to downstream-request delta</w:t>
            </w:r>
          </w:p>
        </w:tc>
        <w:tc>
          <w:tcPr>
            <w:tcW w:type="dxa" w:w="160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9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323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Downstream consequence and causal contribution</w:t>
            </w:r>
          </w:p>
        </w:tc>
        <w:tc>
          <w:tcPr>
            <w:tcW w:type="dxa" w:w="160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9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4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09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120"/>
        <w:pBdr>
          <w:bottom w:val="single" w:sz="4" w:space="1" w:color="5D7793"/>
        </w:pBdr>
      </w:pPr>
    </w:p>
    <w:p>
      <w:pPr>
        <w:pStyle w:val="Heading1"/>
        <w:keepNext/>
      </w:pPr>
      <w:r>
        <w:t>WP-12 Campaign, Activity-Share, and Decision-Gate Profile</w:t>
      </w:r>
    </w:p>
    <w:p>
      <w:pPr>
        <w:spacing w:after="100" w:line="259" w:lineRule="auto"/>
      </w:pPr>
      <w:r>
        <w:rPr>
          <w:sz w:val="18"/>
        </w:rPr>
        <w:t>Complete when a conclusion aggregates several actions, targets, sessions, or agent instances, or relies on a claim about the proportion of work performed by AI.</w:t>
      </w:r>
    </w:p>
    <w:p>
      <w:pPr>
        <w:pStyle w:val="Heading2"/>
        <w:keepNext/>
      </w:pPr>
      <w:r>
        <w:t>A. Campaign and aggregation record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7861"/>
        <w:gridCol w:w="2017"/>
      </w:tblGrid>
      <w:tr>
        <w:trPr>
          <w:cantSplit/>
          <w:tblHeader w:val="true"/>
        </w:trPr>
        <w:tc>
          <w:tcPr>
            <w:tcW w:type="dxa" w:w="786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Field</w:t>
            </w:r>
          </w:p>
        </w:tc>
        <w:tc>
          <w:tcPr>
            <w:tcW w:type="dxa" w:w="201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Entry</w:t>
            </w:r>
          </w:p>
        </w:tc>
      </w:tr>
      <w:tr>
        <w:trPr>
          <w:cantSplit/>
        </w:trPr>
        <w:tc>
          <w:tcPr>
            <w:tcW w:type="dxa" w:w="786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Campaign or population asserted</w:t>
            </w:r>
          </w:p>
        </w:tc>
        <w:tc>
          <w:tcPr>
            <w:tcW w:type="dxa" w:w="201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86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Unit of analysis</w:t>
            </w:r>
          </w:p>
        </w:tc>
        <w:tc>
          <w:tcPr>
            <w:tcW w:type="dxa" w:w="201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86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Inclusion and exclusion criteria</w:t>
            </w:r>
          </w:p>
        </w:tc>
        <w:tc>
          <w:tcPr>
            <w:tcW w:type="dxa" w:w="201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86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Total and examined episodes or targets</w:t>
            </w:r>
          </w:p>
        </w:tc>
        <w:tc>
          <w:tcPr>
            <w:tcW w:type="dxa" w:w="201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86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Successful, failed, and incomplete episodes</w:t>
            </w:r>
          </w:p>
        </w:tc>
        <w:tc>
          <w:tcPr>
            <w:tcW w:type="dxa" w:w="201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86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Evidence coverage and sampling basis</w:t>
            </w:r>
          </w:p>
        </w:tc>
        <w:tc>
          <w:tcPr>
            <w:tcW w:type="dxa" w:w="201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86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Common and divergent paths</w:t>
            </w:r>
          </w:p>
        </w:tc>
        <w:tc>
          <w:tcPr>
            <w:tcW w:type="dxa" w:w="201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86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Permitted level of aggregation</w:t>
            </w:r>
          </w:p>
        </w:tc>
        <w:tc>
          <w:tcPr>
            <w:tcW w:type="dxa" w:w="2017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1184"/>
        <w:gridCol w:w="1832"/>
        <w:gridCol w:w="2228"/>
        <w:gridCol w:w="1472"/>
        <w:gridCol w:w="1868"/>
        <w:gridCol w:w="1294"/>
      </w:tblGrid>
      <w:tr>
        <w:trPr>
          <w:cantSplit/>
          <w:tblHeader w:val="true"/>
        </w:trPr>
        <w:tc>
          <w:tcPr>
            <w:tcW w:type="dxa" w:w="118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Run or episode</w:t>
            </w:r>
          </w:p>
        </w:tc>
        <w:tc>
          <w:tcPr>
            <w:tcW w:type="dxa" w:w="183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Agent instance and configuration</w:t>
            </w:r>
          </w:p>
        </w:tc>
        <w:tc>
          <w:tcPr>
            <w:tcW w:type="dxa" w:w="222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Shared persistent state or causal influence</w:t>
            </w:r>
          </w:p>
        </w:tc>
        <w:tc>
          <w:tcPr>
            <w:tcW w:type="dxa" w:w="147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Direction of influence</w:t>
            </w:r>
          </w:p>
        </w:tc>
        <w:tc>
          <w:tcPr>
            <w:tcW w:type="dxa" w:w="186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Independent repetition supported?</w:t>
            </w:r>
          </w:p>
        </w:tc>
        <w:tc>
          <w:tcPr>
            <w:tcW w:type="dxa" w:w="12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Aggregation limit</w:t>
            </w:r>
          </w:p>
        </w:tc>
      </w:tr>
      <w:tr>
        <w:trPr>
          <w:cantSplit/>
        </w:trPr>
        <w:tc>
          <w:tcPr>
            <w:tcW w:type="dxa" w:w="118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83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222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7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86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9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pStyle w:val="Heading2"/>
        <w:keepNext/>
      </w:pPr>
      <w:r>
        <w:t>B. Activity-share record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1296"/>
        <w:gridCol w:w="1296"/>
        <w:gridCol w:w="1234"/>
        <w:gridCol w:w="1265"/>
        <w:gridCol w:w="1481"/>
        <w:gridCol w:w="1635"/>
        <w:gridCol w:w="1671"/>
      </w:tblGrid>
      <w:tr>
        <w:trPr>
          <w:cantSplit/>
          <w:tblHeader w:val="true"/>
        </w:trPr>
        <w:tc>
          <w:tcPr>
            <w:tcW w:type="dxa" w:w="129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Activity-share claim</w:t>
            </w:r>
          </w:p>
        </w:tc>
        <w:tc>
          <w:tcPr>
            <w:tcW w:type="dxa" w:w="129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Denominator and unit</w:t>
            </w:r>
          </w:p>
        </w:tc>
        <w:tc>
          <w:tcPr>
            <w:tcW w:type="dxa" w:w="123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Measurement method</w:t>
            </w:r>
          </w:p>
        </w:tc>
        <w:tc>
          <w:tcPr>
            <w:tcW w:type="dxa" w:w="126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Source and coverage</w:t>
            </w:r>
          </w:p>
        </w:tc>
        <w:tc>
          <w:tcPr>
            <w:tcW w:type="dxa" w:w="14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Exclusions and uncertainty</w:t>
            </w:r>
          </w:p>
        </w:tc>
        <w:tc>
          <w:tcPr>
            <w:tcW w:type="dxa" w:w="16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Attribution inference permitted</w:t>
            </w:r>
          </w:p>
        </w:tc>
        <w:tc>
          <w:tcPr>
            <w:tcW w:type="dxa" w:w="167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Attribution inference prohibited</w:t>
            </w:r>
          </w:p>
        </w:tc>
      </w:tr>
      <w:tr>
        <w:trPr>
          <w:cantSplit/>
        </w:trPr>
        <w:tc>
          <w:tcPr>
            <w:tcW w:type="dxa" w:w="129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96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3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26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48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7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pStyle w:val="Heading2"/>
        <w:keepNext/>
      </w:pPr>
      <w:r>
        <w:t>C. Strategic-decision-gate record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1080"/>
        <w:gridCol w:w="1604"/>
        <w:gridCol w:w="1389"/>
        <w:gridCol w:w="1728"/>
        <w:gridCol w:w="1635"/>
        <w:gridCol w:w="1111"/>
        <w:gridCol w:w="1331"/>
      </w:tblGrid>
      <w:tr>
        <w:trPr>
          <w:cantSplit/>
          <w:tblHeader w:val="true"/>
        </w:trPr>
        <w:tc>
          <w:tcPr>
            <w:tcW w:type="dxa" w:w="108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Decision gate</w:t>
            </w:r>
          </w:p>
        </w:tc>
        <w:tc>
          <w:tcPr>
            <w:tcW w:type="dxa" w:w="160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Proposed human or system actor</w:t>
            </w:r>
          </w:p>
        </w:tc>
        <w:tc>
          <w:tcPr>
            <w:tcW w:type="dxa" w:w="138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Instruction or approval</w:t>
            </w:r>
          </w:p>
        </w:tc>
        <w:tc>
          <w:tcPr>
            <w:tcW w:type="dxa" w:w="172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Evidence of authorship and control</w:t>
            </w:r>
          </w:p>
        </w:tc>
        <w:tc>
          <w:tcPr>
            <w:tcW w:type="dxa" w:w="16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Scope and consequence presented</w:t>
            </w:r>
          </w:p>
        </w:tc>
        <w:tc>
          <w:tcPr>
            <w:tcW w:type="dxa" w:w="111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Classification</w:t>
            </w:r>
          </w:p>
        </w:tc>
        <w:tc>
          <w:tcPr>
            <w:tcW w:type="dxa" w:w="133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2"/>
              </w:rPr>
              <w:t>Effect on attribution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4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89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72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35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11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331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p>
      <w:pPr>
        <w:spacing w:after="120"/>
        <w:pBdr>
          <w:bottom w:val="single" w:sz="4" w:space="1" w:color="5D7793"/>
        </w:pBdr>
      </w:pPr>
    </w:p>
    <w:p>
      <w:pPr>
        <w:pStyle w:val="Heading1"/>
        <w:keepNext/>
      </w:pPr>
      <w:r>
        <w:t>Quality-control sign-off</w:t>
      </w: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6212"/>
        <w:gridCol w:w="2063"/>
        <w:gridCol w:w="1603"/>
      </w:tblGrid>
      <w:tr>
        <w:trPr>
          <w:cantSplit/>
          <w:tblHeader w:val="true"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Check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Practitioner</w:t>
            </w: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Reviewer</w:t>
            </w: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External action established independently of the subject agent's assertion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Subject-system and external analytic representations separated from the propositions asserted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Technical identity not treated as natural-person identity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Device or session control not treated as authorship of every material interaction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Technical permission not treated as substantive authorization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Capability, authority, and enforcement adjudicated separately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Later constraints and operative component state established at the material transition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Authorization distinguished from scope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Downstream evidence not used to cure an upstream attribution break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Every stream counted for a named proposition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Single-stream exception fully documented and concurred with where required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Testimonial assertions decomposed and corroboration assessed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Competing alternatives passed both gates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Affected dimensions distinguished from failure conditions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Pending and exhausted states supported by the required inquiry record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DRT not treated as a waiver or transfer of organizational control responsibility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Individual and organizational paths adjudicated separately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Technical, operator, cluster, organizational, and sponsorship paths received separate ceilings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Vendor, package, publisher, implementation, and natural-person identity propositions not collapsed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Tool description distinguished from implementation behaviour and downstream request state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Multiple downstream actions adjudicated separately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Activity-share claims documented without allocating intent or authorization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Human decision gates mapped independently of tactical activity share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Episode-level findings not generalized beyond established coverage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Action, run, session, episode, incident, campaign, and population units not collapsed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Cross-run independence established before repetitions counted as independent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Approval, silence, continued operation, or non-intervention not treated as knowing authorization without presentation-to-effect comparison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Effective target resolved through command, environment, state, credentials, account, downstream request, and resources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Decision-basis state tested for provenance, version, freshness, completeness, and fitness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Recorded reasoning not treated as transparent computation or proof of awareness, belief, deception, or intent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Attempt, execution, completion, effect, harm, mitigation, and recovery separated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Provider, model, configuration, scaffold, instance, session, run, tool process, account, and downstream executor identities not collapsed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Organizational functions separated where their authority, knowledge, control, or contribution differs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Registries, catalogs, taxonomies, mappings, and later reports traced to originating sources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6212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Report states the exact attribution boundary or no demonstrated discontinuity within scope</w:t>
            </w:r>
          </w:p>
        </w:tc>
        <w:tc>
          <w:tcPr>
            <w:tcW w:type="dxa" w:w="206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  <w:tc>
          <w:tcPr>
            <w:tcW w:type="dxa" w:w="1603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tbl>
      <w:tblPr>
        <w:tblW w:type="dxa" w:w="9878"/>
        <w:jc w:val="left"/>
        <w:tblLayout w:type="fixed"/>
        <w:tblLook w:firstColumn="1" w:firstRow="1" w:lastColumn="0" w:lastRow="0" w:noHBand="0" w:noVBand="1" w:val="04A0"/>
        <w:tblInd w:w="120" w:type="dxa"/>
        <w:tblLayout w:type="fixed"/>
        <w:tblBorders>
          <w:top w:val="single" w:sz="4" w:color="B8C5D2"/>
          <w:left w:val="single" w:sz="4" w:color="B8C5D2"/>
          <w:bottom w:val="single" w:sz="4" w:color="B8C5D2"/>
          <w:right w:val="single" w:sz="4" w:color="B8C5D2"/>
          <w:insideH w:val="single" w:sz="4" w:color="B8C5D2"/>
          <w:insideV w:val="single" w:sz="4" w:color="B8C5D2"/>
        </w:tblBorders>
      </w:tblPr>
      <w:tblGrid>
        <w:gridCol w:w="7450"/>
        <w:gridCol w:w="2428"/>
      </w:tblGrid>
      <w:tr>
        <w:trPr>
          <w:cantSplit/>
          <w:tblHeader w:val="true"/>
        </w:trPr>
        <w:tc>
          <w:tcPr>
            <w:tcW w:type="dxa" w:w="745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Sign-off field</w:t>
            </w:r>
          </w:p>
        </w:tc>
        <w:tc>
          <w:tcPr>
            <w:tcW w:type="dxa" w:w="242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  <w:shd w:fill="1B2A4A"/>
          </w:tcPr>
          <w:p>
            <w:pPr>
              <w:spacing w:after="0" w:line="240" w:lineRule="auto"/>
            </w:pPr>
            <w:r>
              <w:rPr>
                <w:rFonts w:ascii="Arial" w:hAnsi="Arial"/>
                <w:b/>
                <w:color w:val="F2F5F8"/>
                <w:sz w:val="14"/>
              </w:rPr>
              <w:t>Entry</w:t>
            </w:r>
          </w:p>
        </w:tc>
      </w:tr>
      <w:tr>
        <w:trPr>
          <w:cantSplit/>
        </w:trPr>
        <w:tc>
          <w:tcPr>
            <w:tcW w:type="dxa" w:w="745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Practitioner name and date</w:t>
            </w:r>
          </w:p>
        </w:tc>
        <w:tc>
          <w:tcPr>
            <w:tcW w:type="dxa" w:w="242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45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Reviewer name and date</w:t>
            </w:r>
          </w:p>
        </w:tc>
        <w:tc>
          <w:tcPr>
            <w:tcW w:type="dxa" w:w="242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45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Unresolved disagreement</w:t>
            </w:r>
          </w:p>
        </w:tc>
        <w:tc>
          <w:tcPr>
            <w:tcW w:type="dxa" w:w="242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  <w:tr>
        <w:trPr>
          <w:cantSplit/>
        </w:trPr>
        <w:tc>
          <w:tcPr>
            <w:tcW w:type="dxa" w:w="7450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Arial" w:hAnsi="Arial"/>
                <w:sz w:val="14"/>
              </w:rPr>
              <w:t>Required escalation or revision</w:t>
            </w:r>
          </w:p>
        </w:tc>
        <w:tc>
          <w:tcPr>
            <w:tcW w:type="dxa" w:w="2428"/>
            <w:vAlign w:val="center"/>
            <w:tcMar>
              <w:top w:w="50" w:type="dxa"/>
              <w:start w:w="85" w:type="dxa"/>
              <w:bottom w:w="50" w:type="dxa"/>
              <w:end w:w="85" w:type="dxa"/>
            </w:tcMar>
          </w:tcPr>
          <w:p>
            <w:pPr>
              <w:spacing w:after="0" w:line="240" w:lineRule="auto"/>
            </w:pPr>
          </w:p>
        </w:tc>
      </w:tr>
    </w:tbl>
    <w:p>
      <w:pPr>
        <w:spacing w:after="0"/>
      </w:pPr>
    </w:p>
    <w:sectPr w:rsidR="00A61B72">
      <w:headerReference w:type="default" r:id="rId7"/>
      <w:footerReference w:type="default" r:id="rId8"/>
      <w:pgSz w:w="12240" w:h="15840"/>
      <w:pgMar w:top="1440" w:right="1440" w:bottom="1440" w:left="1440" w:header="720" w:footer="6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E303CA" w14:textId="77777777" w:rsidR="003A08C6" w:rsidRDefault="003A08C6">
      <w:pPr>
        <w:spacing w:after="0" w:line="240" w:lineRule="auto"/>
      </w:pPr>
      <w:r>
        <w:separator/>
      </w:r>
    </w:p>
  </w:endnote>
  <w:endnote w:type="continuationSeparator" w:id="0">
    <w:p w14:paraId="019C6EB1" w14:textId="77777777" w:rsidR="003A08C6" w:rsidRDefault="003A08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Bdr>
        <w:top w:val="single" w:color="C6C6D2" w:sz="4" w:space="4"/>
      </w:pBdr>
      <w:jc w:val="center"/>
    </w:pPr>
    <w:r>
      <w:rPr>
        <w:color w:val="7A7A85"/>
        <w:sz w:val="16"/>
        <w:szCs w:val="16"/>
      </w:rPr>
      <w:t xml:space="preserve">Page </w:t>
    </w:r>
    <w:r>
      <w:rPr>
        <w:color w:val="7A7A8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A7A85"/>
        <w:sz w:val="16"/>
        <w:szCs w:val="16"/>
      </w:rPr>
      <w:t xml:space="preserve"> of </w:t>
    </w:r>
    <w:r>
      <w:rPr>
        <w:color w:val="7A7A8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0F13BA" w14:textId="77777777" w:rsidR="003A08C6" w:rsidRDefault="003A08C6">
      <w:pPr>
        <w:spacing w:after="0" w:line="240" w:lineRule="auto"/>
      </w:pPr>
      <w:r>
        <w:separator/>
      </w:r>
    </w:p>
  </w:footnote>
  <w:footnote w:type="continuationSeparator" w:id="0">
    <w:p w14:paraId="780104E4" w14:textId="77777777" w:rsidR="003A08C6" w:rsidRDefault="003A08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pBdr>
        <w:bottom w:val="single" w:color="C6C6D2" w:sz="4" w:space="4"/>
      </w:pBdr>
      <w:jc w:val="right"/>
    </w:pPr>
    <w:r>
      <w:rPr>
        <w:rFonts w:ascii="Calibri" w:cs="Calibri" w:eastAsia="Calibri" w:hAnsi="Calibri"/>
        <w:color w:val="7A7A85"/>
        <w:sz w:val="16"/>
        <w:szCs w:val="16"/>
      </w:rPr>
      <w:t>HAAD  ·  Version 0.5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7D039E"/>
    <w:multiLevelType w:val="hybridMultilevel"/>
    <w:tmpl w:val="CD442D72"/>
    <w:lvl w:ilvl="0" w:tplc="DF207FB0">
      <w:start w:val="1"/>
      <w:numFmt w:val="bullet"/>
      <w:lvlText w:val="●"/>
      <w:lvlJc w:val="left"/>
      <w:pPr>
        <w:ind w:left="720" w:hanging="360"/>
      </w:pPr>
    </w:lvl>
    <w:lvl w:ilvl="1" w:tplc="1D246AD4">
      <w:start w:val="1"/>
      <w:numFmt w:val="bullet"/>
      <w:lvlText w:val="○"/>
      <w:lvlJc w:val="left"/>
      <w:pPr>
        <w:ind w:left="1440" w:hanging="360"/>
      </w:pPr>
    </w:lvl>
    <w:lvl w:ilvl="2" w:tplc="E4564C7C">
      <w:start w:val="1"/>
      <w:numFmt w:val="bullet"/>
      <w:lvlText w:val="■"/>
      <w:lvlJc w:val="left"/>
      <w:pPr>
        <w:ind w:left="2160" w:hanging="360"/>
      </w:pPr>
    </w:lvl>
    <w:lvl w:ilvl="3" w:tplc="AA14359A">
      <w:start w:val="1"/>
      <w:numFmt w:val="bullet"/>
      <w:lvlText w:val="●"/>
      <w:lvlJc w:val="left"/>
      <w:pPr>
        <w:ind w:left="2880" w:hanging="360"/>
      </w:pPr>
    </w:lvl>
    <w:lvl w:ilvl="4" w:tplc="B9EAC184">
      <w:start w:val="1"/>
      <w:numFmt w:val="bullet"/>
      <w:lvlText w:val="○"/>
      <w:lvlJc w:val="left"/>
      <w:pPr>
        <w:ind w:left="3600" w:hanging="360"/>
      </w:pPr>
    </w:lvl>
    <w:lvl w:ilvl="5" w:tplc="92626776">
      <w:start w:val="1"/>
      <w:numFmt w:val="bullet"/>
      <w:lvlText w:val="■"/>
      <w:lvlJc w:val="left"/>
      <w:pPr>
        <w:ind w:left="4320" w:hanging="360"/>
      </w:pPr>
    </w:lvl>
    <w:lvl w:ilvl="6" w:tplc="7B6A12A8">
      <w:start w:val="1"/>
      <w:numFmt w:val="bullet"/>
      <w:lvlText w:val="●"/>
      <w:lvlJc w:val="left"/>
      <w:pPr>
        <w:ind w:left="5040" w:hanging="360"/>
      </w:pPr>
    </w:lvl>
    <w:lvl w:ilvl="7" w:tplc="334C6D4E">
      <w:start w:val="1"/>
      <w:numFmt w:val="bullet"/>
      <w:lvlText w:val="●"/>
      <w:lvlJc w:val="left"/>
      <w:pPr>
        <w:ind w:left="5760" w:hanging="360"/>
      </w:pPr>
    </w:lvl>
    <w:lvl w:ilvl="8" w:tplc="B71E95D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4F7CCB"/>
    <w:multiLevelType w:val="hybridMultilevel"/>
    <w:tmpl w:val="728857F8"/>
    <w:lvl w:ilvl="0" w:tplc="4CFE16BE">
      <w:start w:val="1"/>
      <w:numFmt w:val="decimal"/>
      <w:lvlText w:val="%1."/>
      <w:lvlJc w:val="left"/>
      <w:pPr>
        <w:ind w:left="504" w:hanging="360"/>
      </w:pPr>
    </w:lvl>
    <w:lvl w:ilvl="1" w:tplc="CAF46994">
      <w:numFmt w:val="decimal"/>
      <w:lvlText w:val=""/>
      <w:lvlJc w:val="left"/>
    </w:lvl>
    <w:lvl w:ilvl="2" w:tplc="E3526D40">
      <w:numFmt w:val="decimal"/>
      <w:lvlText w:val=""/>
      <w:lvlJc w:val="left"/>
    </w:lvl>
    <w:lvl w:ilvl="3" w:tplc="B32E5FA0">
      <w:numFmt w:val="decimal"/>
      <w:lvlText w:val=""/>
      <w:lvlJc w:val="left"/>
    </w:lvl>
    <w:lvl w:ilvl="4" w:tplc="02944E08">
      <w:numFmt w:val="decimal"/>
      <w:lvlText w:val=""/>
      <w:lvlJc w:val="left"/>
    </w:lvl>
    <w:lvl w:ilvl="5" w:tplc="ECA4F4EC">
      <w:numFmt w:val="decimal"/>
      <w:lvlText w:val=""/>
      <w:lvlJc w:val="left"/>
    </w:lvl>
    <w:lvl w:ilvl="6" w:tplc="A0AC8F42">
      <w:numFmt w:val="decimal"/>
      <w:lvlText w:val=""/>
      <w:lvlJc w:val="left"/>
    </w:lvl>
    <w:lvl w:ilvl="7" w:tplc="524ECED6">
      <w:numFmt w:val="decimal"/>
      <w:lvlText w:val=""/>
      <w:lvlJc w:val="left"/>
    </w:lvl>
    <w:lvl w:ilvl="8" w:tplc="6B4840EA">
      <w:numFmt w:val="decimal"/>
      <w:lvlText w:val=""/>
      <w:lvlJc w:val="left"/>
    </w:lvl>
  </w:abstractNum>
  <w:num w:numId="1" w16cid:durableId="237443457">
    <w:abstractNumId w:val="0"/>
    <w:lvlOverride w:ilvl="0">
      <w:startOverride w:val="1"/>
    </w:lvlOverride>
  </w:num>
  <w:num w:numId="2" w16cid:durableId="650014628">
    <w:abstractNumId w:val="1"/>
    <w:lvlOverride w:ilvl="0">
      <w:startOverride w:val="1"/>
    </w:lvlOverride>
  </w:num>
  <w:num w:numId="3" w16cid:durableId="1634477559">
    <w:abstractNumId w:val="1"/>
    <w:lvlOverride w:ilvl="0">
      <w:startOverride w:val="1"/>
    </w:lvlOverride>
  </w:num>
  <w:abstractNum w:abstractNumId="2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</w:lvl>
  </w:abstractNum>
  <w:num w:numId="4">
    <w:abstractNumId w:val="2"/>
  </w:num>
  <w:abstractNum w:abstractNumId="3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180"/>
      </w:pPr>
    </w:lvl>
  </w:abstractNum>
  <w:num w:numId="5">
    <w:abstractNumId w:val="3"/>
  </w:num>
  <w:abstractNum w:abstractNumId="4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180"/>
      </w:pPr>
    </w:lvl>
  </w:abstractNum>
  <w:num w:numId="6">
    <w:abstractNumId w:val="4"/>
  </w:num>
  <w:abstractNum w:abstractNumId="5">
    <w:multiLevelType w:val="singleLevel"/>
    <w:lvl w:ilvl="0">
      <w:start w:val="1"/>
      <w:numFmt w:val="bullet"/>
      <w:lvlText w:val="•"/>
      <w:lvlJc w:val="left"/>
      <w:pPr>
        <w:tabs>
          <w:tab w:val="num" w:pos="360"/>
        </w:tabs>
        <w:ind w:left="360" w:hanging="180"/>
      </w:pPr>
    </w:lvl>
  </w:abstractNum>
  <w:num w:numId="7">
    <w:abstractNumId w:val="5"/>
  </w:num>
  <w:abstractNum w:abstractNumId="6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180"/>
      </w:pPr>
      <w:suff w:val="space"/>
    </w:lvl>
  </w:abstractNum>
  <w:num w:numId="8">
    <w:abstractNumId w:val="6"/>
  </w:num>
  <w:abstractNum w:abstractNumId="7">
    <w:multiLevelType w:val="singleLevel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180"/>
      </w:pPr>
      <w:suff w:val="space"/>
    </w:lvl>
  </w:abstract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attachedTemplate r:id="rId1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881"/>
    <w:rsid w:val="000F2772"/>
    <w:rsid w:val="000F5EF4"/>
    <w:rsid w:val="00106881"/>
    <w:rsid w:val="00126D87"/>
    <w:rsid w:val="003A08C6"/>
    <w:rsid w:val="004F174B"/>
    <w:rsid w:val="0055384E"/>
    <w:rsid w:val="009903D8"/>
    <w:rsid w:val="00A61B72"/>
    <w:rsid w:val="00CB5A7A"/>
    <w:rsid w:val="00CE3D52"/>
    <w:rsid w:val="00D61DB4"/>
    <w:rsid w:val="00EE39DF"/>
    <w:rsid w:val="00EF0B7C"/>
    <w:rsid w:val="00F701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EB6F56"/>
  <w15:docId w15:val="{F47390DA-350B-4C3B-92C0-25D45A9263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color w:val="222222"/>
        <w:sz w:val="22"/>
        <w:szCs w:val="22"/>
        <w:lang w:val="en-CA" w:eastAsia="en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6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pBdr>
        <w:bottom w:val="single" w:sz="6" w:space="4" w:color="9AA7B5"/>
      </w:pBdr>
      <w:spacing w:before="360" w:after="140"/>
      <w:outlineLvl w:val="0"/>
    </w:pPr>
    <w:rPr>
      <w:rFonts w:ascii="Calibri" w:eastAsia="Calibri" w:hAnsi="Calibri" w:cs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60" w:after="100"/>
      <w:outlineLvl w:val="1"/>
    </w:pPr>
    <w:rPr>
      <w:rFonts w:ascii="Calibri" w:eastAsia="Calibri" w:hAnsi="Calibri" w:cs="Calibri"/>
      <w:b/>
      <w:bCs/>
      <w:color w:val="34567C"/>
      <w:sz w:val="24"/>
      <w:szCs w:val="24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spacing w:before="200" w:after="80"/>
      <w:outlineLvl w:val="2"/>
    </w:pPr>
    <w:rPr>
      <w:rFonts w:ascii="Calibri" w:eastAsia="Calibri" w:hAnsi="Calibri" w:cs="Calibri"/>
      <w:b/>
      <w:bCs/>
      <w:color w:val="34567C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60"/>
    </w:pPr>
    <w:rPr>
      <w:rFonts w:ascii="Calibri" w:eastAsia="Calibri" w:hAnsi="Calibri" w:cs="Calibri"/>
      <w:b/>
      <w:bCs/>
      <w:color w:val="1F3A5F"/>
      <w:sz w:val="52"/>
      <w:szCs w:val="52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next w:val="Normal"/>
    <w:qFormat/>
    <w:pPr>
      <w:spacing w:after="80" w:line="268" w:lineRule="auto"/>
    </w:pPr>
  </w:style>
  <w:style w:type="character" w:styleId="Hyperlink">
    <w:name w:val="Hyperlink"/>
    <w:uiPriority w:val="99"/>
    <w:unhideWhenUsed/>
    <w:rPr>
      <w:color w:val="1F5FA8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spacing w:after="30"/>
    </w:pPr>
    <w:rPr>
      <w:rFonts w:ascii="Calibri" w:eastAsia="Calibri" w:hAnsi="Calibri" w:cs="Calibri"/>
      <w:color w:val="34567C"/>
      <w:sz w:val="30"/>
      <w:szCs w:val="30"/>
    </w:rPr>
  </w:style>
  <w:style w:type="paragraph" w:customStyle="1" w:styleId="Metadata">
    <w:name w:val="Metadata"/>
    <w:basedOn w:val="Normal"/>
    <w:next w:val="Normal"/>
    <w:qFormat/>
    <w:pPr>
      <w:spacing w:after="90" w:line="264" w:lineRule="auto"/>
    </w:pPr>
    <w:rPr>
      <w:sz w:val="21"/>
      <w:szCs w:val="21"/>
    </w:rPr>
  </w:style>
  <w:style w:type="paragraph" w:styleId="Quote">
    <w:name w:val="Quote"/>
    <w:basedOn w:val="Normal"/>
    <w:next w:val="Normal"/>
    <w:qFormat/>
    <w:pPr>
      <w:pBdr>
        <w:left w:val="single" w:sz="18" w:space="12" w:color="1F3A5F"/>
      </w:pBdr>
      <w:shd w:val="clear" w:color="auto" w:fill="F7F8FA"/>
      <w:spacing w:before="60" w:line="268" w:lineRule="auto"/>
      <w:ind w:left="431"/>
    </w:pPr>
    <w:rPr>
      <w:color w:val="2B2B2B"/>
    </w:rPr>
  </w:style>
  <w:style w:type="paragraph" w:customStyle="1" w:styleId="NoticeCallout">
    <w:name w:val="Notice Callout"/>
    <w:basedOn w:val="Normal"/>
    <w:next w:val="Normal"/>
    <w:qFormat/>
    <w:pPr>
      <w:pBdr>
        <w:top w:val="single" w:sz="4" w:space="8" w:color="D9B98A"/>
        <w:left w:val="single" w:sz="18" w:space="10" w:color="C68B3C"/>
        <w:bottom w:val="single" w:sz="4" w:space="8" w:color="D9B98A"/>
        <w:right w:val="single" w:sz="4" w:space="8" w:color="D9B98A"/>
      </w:pBdr>
      <w:shd w:val="clear" w:color="auto" w:fill="FBF3E7"/>
      <w:spacing w:before="40" w:line="268" w:lineRule="auto"/>
      <w:ind w:left="215" w:right="215"/>
    </w:pPr>
    <w:rPr>
      <w:color w:val="3D3423"/>
    </w:rPr>
  </w:style>
  <w:style w:type="paragraph" w:customStyle="1" w:styleId="CodeBlock">
    <w:name w:val="Code Block"/>
    <w:basedOn w:val="Normal"/>
    <w:next w:val="Normal"/>
    <w:qFormat/>
    <w:pPr>
      <w:pBdr>
        <w:left w:val="single" w:sz="4" w:space="6" w:color="D4D9DF"/>
        <w:right w:val="single" w:sz="4" w:space="6" w:color="D4D9DF"/>
      </w:pBdr>
      <w:shd w:val="clear" w:color="auto" w:fill="F4F5F7"/>
      <w:spacing w:after="0" w:line="240" w:lineRule="auto"/>
      <w:ind w:left="215" w:right="215"/>
    </w:pPr>
    <w:rPr>
      <w:rFonts w:ascii="Consolas" w:eastAsia="Consolas" w:hAnsi="Consolas" w:cs="Consolas"/>
      <w:color w:val="24292E"/>
      <w:sz w:val="18"/>
      <w:szCs w:val="18"/>
    </w:rPr>
  </w:style>
  <w:style w:type="paragraph" w:customStyle="1" w:styleId="Reference">
    <w:name w:val="Reference"/>
    <w:basedOn w:val="Normal"/>
    <w:qFormat/>
    <w:pPr>
      <w:spacing w:after="120" w:line="264" w:lineRule="auto"/>
      <w:ind w:left="720" w:hanging="720"/>
    </w:pPr>
    <w:rPr>
      <w:sz w:val="21"/>
      <w:szCs w:val="21"/>
    </w:rPr>
  </w:style>
  <w:style w:type="paragraph" w:styleId="TOC1">
    <w:name w:val="toc 1"/>
    <w:basedOn w:val="Normal"/>
    <w:next w:val="Normal"/>
    <w:autoRedefine/>
    <w:uiPriority w:val="39"/>
    <w:unhideWhenUsed/>
    <w:rsid w:val="00D61DB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61DB4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D61DB4"/>
    <w:pPr>
      <w:spacing w:after="100"/>
      <w:ind w:left="440"/>
    </w:pPr>
  </w:style>
  <w:style w:type="paragraph" w:styleId="TOCHeading">
    <w:name w:val="TOC Heading"/>
    <w:basedOn w:val="Heading1"/>
    <w:next w:val="Normal"/>
    <w:uiPriority w:val="39"/>
    <w:unhideWhenUsed/>
    <w:qFormat/>
    <w:rsid w:val="00CE3D52"/>
    <w:pPr>
      <w:keepLines/>
      <w:pBdr>
        <w:bottom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hyperlink" Target="https://doi.org/10.5281/zenodo.22099968" TargetMode="External"/><Relationship Id="rId12" Type="http://schemas.openxmlformats.org/officeDocument/2006/relationships/hyperlink" Target="https://doi.org/10.5281/zenodo.21683276" TargetMode="External"/><Relationship Id="rId13" Type="http://schemas.openxmlformats.org/officeDocument/2006/relationships/hyperlink" Target="https://creativecommons.org/licenses/by-nc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E:\OneDrive\AI%20Methodology\methodologies\human-agent-attribution-discontinuity\version-0.4\release\zenodo-public\Kevin_Watson_Publication_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Kevin_Watson_Publication_Template.dotx</Template>
  <TotalTime>8</TotalTime>
  <Pages>10</Pages>
  <Words>1684</Words>
  <Characters>9604</Characters>
  <Application>Microsoft Office Word</Application>
  <DocSecurity>0</DocSecurity>
  <Lines>80</Lines>
  <Paragraphs>22</Paragraphs>
  <ScaleCrop>false</ScaleCrop>
  <Company/>
  <LinksUpToDate>false</LinksUpToDate>
  <CharactersWithSpaces>11266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02_HAAD_Practitioner_Workpapers_v0.5</dc:title>
  <dc:subject>HAAD Version 0.5 public release</dc:subject>
  <dc:creator>Kevin V. Watson</dc:creator>
  <dc:description>Reusable house-style template</dc:description>
  <cp:lastModifiedBy>Kevin Watson</cp:lastModifiedBy>
  <cp:revision>8</cp:revision>
  <dcterms:created xsi:type="dcterms:W3CDTF">2026-07-29T16:25:00Z</dcterms:created>
  <dcterms:modified xsi:type="dcterms:W3CDTF">2026-07-29T17:26:00Z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468ad1a9-0a68-4731-9aac-c7ed1c6936ad</vt:lpwstr>
  </property>
</Properties>
</file>