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0"/>
      </w:pPr>
    </w:p>
    <w:p>
      <w:pPr>
        <w:spacing w:after="60"/>
        <w:jc w:val="center"/>
      </w:pPr>
      <w:r>
        <w:rPr>
          <w:rFonts w:ascii="Calibri" w:cs="Calibri" w:eastAsia="Calibri" w:hAnsi="Calibri"/>
          <w:b/>
          <w:bCs/>
          <w:color w:val="1A1A3D"/>
          <w:sz w:val="52"/>
          <w:szCs w:val="52"/>
        </w:rPr>
        <w:t>HAAD Version 0.5</w:t>
      </w:r>
    </w:p>
    <w:p>
      <w:pPr>
        <w:pBdr>
          <w:bottom w:val="single" w:color="A6884E" w:sz="12" w:space="6"/>
        </w:pBdr>
        <w:spacing w:after="220"/>
        <w:jc w:val="center"/>
      </w:pPr>
      <w:r>
        <w:t xml:space="preserve"/>
      </w:r>
    </w:p>
    <w:p>
      <w:pPr>
        <w:spacing w:after="40"/>
        <w:jc w:val="center"/>
      </w:pPr>
      <w:r>
        <w:rPr>
          <w:rFonts w:ascii="Calibri" w:cs="Calibri" w:eastAsia="Calibri" w:hAnsi="Calibri"/>
          <w:color w:val="23234F"/>
          <w:sz w:val="30"/>
          <w:szCs w:val="30"/>
        </w:rPr>
        <w:t>Release Manifest</w:t>
      </w:r>
    </w:p>
    <w:p>
      <w:pPr>
        <w:spacing w:after="520"/>
        <w:jc w:val="center"/>
      </w:pPr>
      <w:r>
        <w:rPr>
          <w:rFonts w:ascii="Calibri" w:cs="Calibri" w:eastAsia="Calibri" w:hAnsi="Calibri"/>
          <w:b/>
          <w:bCs/>
          <w:color w:val="A6884E"/>
          <w:sz w:val="24"/>
          <w:szCs w:val="24"/>
        </w:rPr>
        <w:t>Version 0.5</w:t>
      </w:r>
    </w:p>
    <w:p>
      <w:pPr>
        <w:spacing w:after="20"/>
        <w:jc w:val="center"/>
      </w:pPr>
      <w:r>
        <w:rPr>
          <w:rFonts w:ascii="Calibri" w:cs="Calibri" w:eastAsia="Calibri" w:hAnsi="Calibri"/>
          <w:color w:val="1A1A1A"/>
          <w:sz w:val="26"/>
          <w:szCs w:val="26"/>
        </w:rPr>
        <w:t>Kevin V. Watson</w:t>
      </w:r>
    </w:p>
    <w:p>
      <w:pPr>
        <w:spacing w:after="40"/>
        <w:jc w:val="center"/>
      </w:pPr>
      <w:r>
        <w:rPr>
          <w:rFonts w:ascii="Calibri" w:cs="Calibri" w:eastAsia="Calibri" w:hAnsi="Calibri"/>
          <w:color w:val="7A7A85"/>
          <w:sz w:val="22"/>
          <w:szCs w:val="22"/>
        </w:rPr>
        <w:t>August 25, 2026</w:t>
      </w:r>
    </w:p>
    <w:p>
      <w:pPr>
        <w:spacing w:before="40"/>
        <w:jc w:val="center"/>
      </w:pPr>
      <w:r>
        <w:rPr>
          <w:rFonts w:ascii="Calibri" w:cs="Calibri" w:eastAsia="Calibri" w:hAnsi="Calibri"/>
          <w:b w:val="false"/>
          <w:bCs w:val="false"/>
          <w:i w:val="false"/>
          <w:iCs w:val="false"/>
          <w:color w:val="7A7A85"/>
          <w:sz w:val="18"/>
          <w:szCs w:val="18"/>
        </w:rPr>
        <w:t>Copyright © 2026 Kevin V. Watson.</w:t>
      </w:r>
    </w:p>
    <w:p>
      <w:r>
        <w:br w:type="page"/>
      </w:r>
    </w:p>
    <w:p>
      <w:pPr>
        <w:spacing w:after="480"/>
      </w:pPr>
    </w:p>
    <w:p>
      <w:pPr>
        <w:spacing w:after="160"/>
      </w:pPr>
      <w:r>
        <w:rPr>
          <w:rFonts w:ascii="Calibri" w:cs="Calibri" w:eastAsia="Calibri" w:hAnsi="Calibri"/>
          <w:b/>
          <w:bCs/>
          <w:color w:val="23234F"/>
          <w:sz w:val="30"/>
          <w:szCs w:val="30"/>
        </w:rPr>
        <w:t xml:space="preserve">Document information</w:t>
      </w:r>
    </w:p>
    <w:p>
      <w:pPr>
        <w:spacing w:after="100" w:line="264" w:lineRule="auto"/>
      </w:pPr>
      <w:r>
        <w:rPr>
          <w:b/>
          <w:sz w:val="18"/>
        </w:rPr>
        <w:t>Author:</w:t>
      </w:r>
      <w:r>
        <w:rPr>
          <w:sz w:val="18"/>
        </w:rPr>
        <w:t xml:space="preserve"> Kevin V. Watson</w:t>
      </w:r>
    </w:p>
    <w:p>
      <w:pPr>
        <w:spacing w:after="100" w:line="264" w:lineRule="auto"/>
      </w:pPr>
      <w:r>
        <w:rPr>
          <w:b/>
          <w:sz w:val="18"/>
        </w:rPr>
        <w:t>Release date:</w:t>
      </w:r>
      <w:r>
        <w:rPr>
          <w:sz w:val="18"/>
        </w:rPr>
        <w:t xml:space="preserve"> August 25, 2026</w:t>
      </w:r>
    </w:p>
    <w:p>
      <w:pPr>
        <w:spacing w:after="100" w:line="264" w:lineRule="auto"/>
      </w:pPr>
      <w:r>
        <w:rPr>
          <w:b/>
          <w:sz w:val="18"/>
        </w:rPr>
        <w:t>Status:</w:t>
      </w:r>
      <w:r>
        <w:rPr>
          <w:sz w:val="18"/>
        </w:rPr>
        <w:t xml:space="preserve"> Public release</w:t>
      </w:r>
    </w:p>
    <w:p>
      <w:pPr>
        <w:spacing w:after="100" w:line="264" w:lineRule="auto"/>
      </w:pPr>
      <w:r>
        <w:rPr>
          <w:b/>
          <w:sz w:val="18"/>
        </w:rPr>
        <w:t>Version 0.5 DOI:</w:t>
      </w:r>
      <w:r>
        <w:rPr>
          <w:sz w:val="18"/>
        </w:rPr>
        <w:t xml:space="preserve"> </w:t>
      </w:r>
      <w:hyperlink r:id="rId11">
        <w:r>
          <w:rPr>
            <w:color w:val="2A66A0"/>
            <w:u w:val="single"/>
            <w:sz w:val="18"/>
          </w:rPr>
          <w:t>10.5281/zenodo.22099968</w:t>
        </w:r>
      </w:hyperlink>
    </w:p>
    <w:p>
      <w:pPr>
        <w:spacing w:after="100" w:line="264" w:lineRule="auto"/>
      </w:pPr>
      <w:r>
        <w:rPr>
          <w:b/>
          <w:sz w:val="18"/>
        </w:rPr>
        <w:t>Prior deposited version:</w:t>
      </w:r>
      <w:r>
        <w:rPr>
          <w:sz w:val="18"/>
        </w:rPr>
        <w:t xml:space="preserve"> Version 0.4, DOI 10.5281/zenodo.21683276</w:t>
      </w:r>
    </w:p>
    <w:p>
      <w:pPr>
        <w:spacing w:after="100" w:line="259" w:lineRule="auto"/>
      </w:pPr>
      <w:r>
        <w:rPr>
          <w:sz w:val="18"/>
        </w:rPr>
        <w:t xml:space="preserve">This manifest identifies the Version 0.5 public-release deposit package. Version 0.5 is to be published through Zenodo's </w:t>
      </w:r>
      <w:r>
        <w:rPr>
          <w:b/>
          <w:sz w:val="18"/>
        </w:rPr>
        <w:t>New version</w:t>
      </w:r>
      <w:r>
        <w:rPr>
          <w:sz w:val="18"/>
        </w:rPr>
        <w:t xml:space="preserve"> function for the existing Version 0.4 record, not by replacing or editing the Version 0.4 files. The Markdown files are the canonical text records. PDF files are reading and distribution renditions produced from the approved Word files. The separately controlled reference model and agreement instrument is not part of the public package.</w:t>
      </w:r>
    </w:p>
    <w:p>
      <w:pPr>
        <w:spacing w:after="100" w:line="259" w:lineRule="auto"/>
      </w:pPr>
      <w:r>
        <w:rPr>
          <w:sz w:val="18"/>
        </w:rPr>
        <w:t>The Word files remain editable production sources and are not included in the public deposit.</w:t>
      </w:r>
    </w:p>
    <w:p>
      <w:pPr>
        <w:pStyle w:val="Heading1"/>
        <w:keepNext/>
      </w:pPr>
      <w:r>
        <w:t>Public release package</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4551"/>
        <w:gridCol w:w="5327"/>
      </w:tblGrid>
      <w:tr>
        <w:trPr>
          <w:cantSplit/>
          <w:tblHeader w:val="true"/>
        </w:trPr>
        <w:tc>
          <w:tcPr>
            <w:tcW w:type="dxa" w:w="4551"/>
            <w:vAlign w:val="center"/>
            <w:tcMar>
              <w:top w:w="50" w:type="dxa"/>
              <w:start w:w="85" w:type="dxa"/>
              <w:bottom w:w="50" w:type="dxa"/>
              <w:end w:w="85" w:type="dxa"/>
            </w:tcMar>
            <w:shd w:fill="1B2A4A"/>
          </w:tcPr>
          <w:p>
            <w:pPr>
              <w:spacing w:after="0" w:line="240" w:lineRule="auto"/>
            </w:pPr>
            <w:r>
              <w:rPr>
                <w:rFonts w:ascii="Arial" w:hAnsi="Arial"/>
                <w:b/>
                <w:color w:val="F2F5F8"/>
                <w:sz w:val="14"/>
              </w:rPr>
              <w:t>File</w:t>
            </w:r>
          </w:p>
        </w:tc>
        <w:tc>
          <w:tcPr>
            <w:tcW w:type="dxa" w:w="5327"/>
            <w:vAlign w:val="center"/>
            <w:tcMar>
              <w:top w:w="50" w:type="dxa"/>
              <w:start w:w="85" w:type="dxa"/>
              <w:bottom w:w="50" w:type="dxa"/>
              <w:end w:w="85" w:type="dxa"/>
            </w:tcMar>
            <w:shd w:fill="1B2A4A"/>
          </w:tcPr>
          <w:p>
            <w:pPr>
              <w:spacing w:after="0" w:line="240" w:lineRule="auto"/>
            </w:pPr>
            <w:r>
              <w:rPr>
                <w:rFonts w:ascii="Arial" w:hAnsi="Arial"/>
                <w:b/>
                <w:color w:val="F2F5F8"/>
                <w:sz w:val="14"/>
              </w:rPr>
              <w:t>Purpose</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00_HAAD_Methodology_v0.5.md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Canonical methodology and controlling specification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00_HAAD_Methodology_v0.5.pdf</w:t>
            </w:r>
          </w:p>
        </w:tc>
        <w:tc>
          <w:tcPr>
            <w:tcW w:type="dxa" w:w="5327"/>
            <w:vAlign w:val="center"/>
            <w:tcMar>
              <w:top w:w="50" w:type="dxa"/>
              <w:start w:w="85" w:type="dxa"/>
              <w:bottom w:w="50" w:type="dxa"/>
              <w:end w:w="85" w:type="dxa"/>
            </w:tcMar>
          </w:tcPr>
          <w:p>
            <w:pPr>
              <w:spacing w:after="0" w:line="240" w:lineRule="auto"/>
            </w:pPr>
            <w:r>
              <w:rPr>
                <w:rFonts w:ascii="Arial" w:hAnsi="Arial"/>
                <w:sz w:val="14"/>
              </w:rPr>
              <w:t>Methodology rendition for reading and distribution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01_HAAD_Executive_Overview_v0.5.md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Concise orientation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01_HAAD_Executive_Overview_v0.5.pdf</w:t>
            </w:r>
          </w:p>
        </w:tc>
        <w:tc>
          <w:tcPr>
            <w:tcW w:type="dxa" w:w="5327"/>
            <w:vAlign w:val="center"/>
            <w:tcMar>
              <w:top w:w="50" w:type="dxa"/>
              <w:start w:w="85" w:type="dxa"/>
              <w:bottom w:w="50" w:type="dxa"/>
              <w:end w:w="85" w:type="dxa"/>
            </w:tcMar>
          </w:tcPr>
          <w:p>
            <w:pPr>
              <w:spacing w:after="0" w:line="240" w:lineRule="auto"/>
            </w:pPr>
            <w:r>
              <w:rPr>
                <w:rFonts w:ascii="Arial" w:hAnsi="Arial"/>
                <w:sz w:val="14"/>
              </w:rPr>
              <w:t>Executive-overview rendition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02_HAAD_Practitioner_Workpapers_v0.5.md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Operational forms, including MCP, organizational, campaign, state, outcome, and decision-gate profiles</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02_HAAD_Practitioner_Workpapers_v0.5.pdf</w:t>
            </w:r>
          </w:p>
        </w:tc>
        <w:tc>
          <w:tcPr>
            <w:tcW w:type="dxa" w:w="5327"/>
            <w:vAlign w:val="center"/>
            <w:tcMar>
              <w:top w:w="50" w:type="dxa"/>
              <w:start w:w="85" w:type="dxa"/>
              <w:bottom w:w="50" w:type="dxa"/>
              <w:end w:w="85" w:type="dxa"/>
            </w:tcMar>
          </w:tcPr>
          <w:p>
            <w:pPr>
              <w:spacing w:after="0" w:line="240" w:lineRule="auto"/>
            </w:pPr>
            <w:r>
              <w:rPr>
                <w:rFonts w:ascii="Arial" w:hAnsi="Arial"/>
                <w:sz w:val="14"/>
              </w:rPr>
              <w:t>Practitioner-workpapers rendition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03_HAAD_Pilot_Evidence_Packs_v0.5.md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Ten synthetic design exemplars for structured-scenario testing</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03_HAAD_Pilot_Evidence_Packs_v0.5.pdf</w:t>
            </w:r>
          </w:p>
        </w:tc>
        <w:tc>
          <w:tcPr>
            <w:tcW w:type="dxa" w:w="5327"/>
            <w:vAlign w:val="center"/>
            <w:tcMar>
              <w:top w:w="50" w:type="dxa"/>
              <w:start w:w="85" w:type="dxa"/>
              <w:bottom w:w="50" w:type="dxa"/>
              <w:end w:w="85" w:type="dxa"/>
            </w:tcMar>
          </w:tcPr>
          <w:p>
            <w:pPr>
              <w:spacing w:after="0" w:line="240" w:lineRule="auto"/>
            </w:pPr>
            <w:r>
              <w:rPr>
                <w:rFonts w:ascii="Arial" w:hAnsi="Arial"/>
                <w:sz w:val="14"/>
              </w:rPr>
              <w:t>Pilot-evidence-packs rendition</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04_README_FIRST_HAAD_v0.5.md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Release status, reading order, testing-material status, and licensing</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05_HAAD_RELEASE_MANIFEST_v0.5.md</w:t>
            </w:r>
          </w:p>
        </w:tc>
        <w:tc>
          <w:tcPr>
            <w:tcW w:type="dxa" w:w="5327"/>
            <w:vAlign w:val="center"/>
            <w:tcMar>
              <w:top w:w="50" w:type="dxa"/>
              <w:start w:w="85" w:type="dxa"/>
              <w:bottom w:w="50" w:type="dxa"/>
              <w:end w:w="85" w:type="dxa"/>
            </w:tcMar>
          </w:tcPr>
          <w:p>
            <w:pPr>
              <w:spacing w:after="0" w:line="240" w:lineRule="auto"/>
            </w:pPr>
            <w:r>
              <w:rPr>
                <w:rFonts w:ascii="Arial" w:hAnsi="Arial"/>
                <w:sz w:val="14"/>
              </w:rPr>
              <w:t>Package inventory and release control</w:t>
            </w:r>
          </w:p>
        </w:tc>
      </w:tr>
      <w:tr>
        <w:trPr>
          <w:cantSplit/>
        </w:trPr>
        <w:tc>
          <w:tcPr>
            <w:tcW w:type="dxa" w:w="4551"/>
            <w:vAlign w:val="center"/>
            <w:tcMar>
              <w:top w:w="50" w:type="dxa"/>
              <w:start w:w="85" w:type="dxa"/>
              <w:bottom w:w="50" w:type="dxa"/>
              <w:end w:w="85" w:type="dxa"/>
            </w:tcMar>
          </w:tcPr>
          <w:p>
            <w:pPr>
              <w:spacing w:after="0" w:line="240" w:lineRule="auto"/>
            </w:pPr>
            <w:r>
              <w:rPr>
                <w:rFonts w:ascii="Arial" w:hAnsi="Arial"/>
                <w:sz w:val="14"/>
              </w:rPr>
              <w:t>05_HAAD_RELEASE_MANIFEST_v0.5.pdf</w:t>
            </w:r>
          </w:p>
        </w:tc>
        <w:tc>
          <w:tcPr>
            <w:tcW w:type="dxa" w:w="5327"/>
            <w:vAlign w:val="center"/>
            <w:tcMar>
              <w:top w:w="50" w:type="dxa"/>
              <w:start w:w="85" w:type="dxa"/>
              <w:bottom w:w="50" w:type="dxa"/>
              <w:end w:w="85" w:type="dxa"/>
            </w:tcMar>
          </w:tcPr>
          <w:p>
            <w:pPr>
              <w:spacing w:after="0" w:line="240" w:lineRule="auto"/>
            </w:pPr>
            <w:r>
              <w:rPr>
                <w:rFonts w:ascii="Arial" w:hAnsi="Arial"/>
                <w:sz w:val="14"/>
              </w:rPr>
              <w:t>Manifest rendition; integrity is established by the Zenodo deposit checksum</w:t>
            </w:r>
          </w:p>
        </w:tc>
      </w:tr>
    </w:tbl>
    <w:p>
      <w:pPr>
        <w:spacing w:after="0"/>
      </w:pPr>
    </w:p>
    <w:p>
      <w:pPr>
        <w:pStyle w:val="Heading1"/>
        <w:keepNext/>
      </w:pPr>
      <w:r>
        <w:t>Hash completion</w:t>
      </w:r>
    </w:p>
    <w:p>
      <w:pPr>
        <w:spacing w:after="100" w:line="259" w:lineRule="auto"/>
      </w:pPr>
      <w:r>
        <w:rPr>
          <w:sz w:val="18"/>
        </w:rPr>
        <w:t>Generate the final SHA-256 inventory after the release PDFs have been created from the approved Word files. Recalculate every hash after any substantive, formatting, filename, or metadata change and before the Zenodo deposit is published.</w:t>
      </w:r>
    </w:p>
    <w:p>
      <w:pPr>
        <w:spacing w:after="100" w:line="259" w:lineRule="auto"/>
      </w:pPr>
      <w:r>
        <w:rPr>
          <w:sz w:val="18"/>
        </w:rPr>
        <w:t>The manifest cannot stably contain its own hash or the hash of its own PDF rendition. Verify those files through the repository or Zenodo deposit checksum.</w:t>
      </w:r>
    </w:p>
    <w:p>
      <w:pPr>
        <w:pStyle w:val="Heading1"/>
        <w:keepNext/>
      </w:pPr>
      <w:r>
        <w:t>Release controls</w:t>
      </w:r>
    </w:p>
    <w:p>
      <w:pPr>
        <w:pStyle w:val="ListParagraph"/>
        <w:numPr>
          <w:ilvl w:val="0"/>
          <w:numId w:val="5"/>
        </w:numPr>
        <w:spacing w:after="60"/>
      </w:pPr>
      <w:r>
        <w:rPr>
          <w:sz w:val="18"/>
        </w:rPr>
        <w:t>Version 0.4 remains the deposited record and is not modified by this release.</w:t>
      </w:r>
    </w:p>
    <w:p>
      <w:pPr>
        <w:pStyle w:val="ListParagraph"/>
        <w:numPr>
          <w:ilvl w:val="0"/>
          <w:numId w:val="5"/>
        </w:numPr>
        <w:spacing w:after="60"/>
      </w:pPr>
      <w:r>
        <w:rPr>
          <w:sz w:val="18"/>
        </w:rPr>
        <w:t>Version 0.5 must be created as a new version of the existing Version 0.4 Zenodo record so that both records remain linked in the same version chain.</w:t>
      </w:r>
    </w:p>
    <w:p>
      <w:pPr>
        <w:pStyle w:val="ListParagraph"/>
        <w:numPr>
          <w:ilvl w:val="0"/>
          <w:numId w:val="5"/>
        </w:numPr>
        <w:spacing w:after="60"/>
      </w:pPr>
      <w:r>
        <w:rPr>
          <w:sz w:val="18"/>
        </w:rPr>
        <w:t>Version 0.5 preserves the canonical fourteen-dimension register.</w:t>
      </w:r>
    </w:p>
    <w:p>
      <w:pPr>
        <w:pStyle w:val="ListParagraph"/>
        <w:numPr>
          <w:ilvl w:val="0"/>
          <w:numId w:val="5"/>
        </w:numPr>
        <w:spacing w:after="60"/>
      </w:pPr>
      <w:r>
        <w:rPr>
          <w:sz w:val="18"/>
        </w:rPr>
        <w:t>MCP remains an application profile, not a fifteenth attribution dimension.</w:t>
      </w:r>
    </w:p>
    <w:p>
      <w:pPr>
        <w:pStyle w:val="ListParagraph"/>
        <w:numPr>
          <w:ilvl w:val="0"/>
          <w:numId w:val="5"/>
        </w:numPr>
        <w:spacing w:after="60"/>
      </w:pPr>
      <w:r>
        <w:rPr>
          <w:sz w:val="18"/>
        </w:rPr>
        <w:t>The added approval, effective-target, decision-state, outcome-stage, cross-run, organizational, and campaign controls are application rules and workpapers, not additional attribution dimensions.</w:t>
      </w:r>
    </w:p>
    <w:p>
      <w:pPr>
        <w:pStyle w:val="ListParagraph"/>
        <w:numPr>
          <w:ilvl w:val="0"/>
          <w:numId w:val="5"/>
        </w:numPr>
        <w:spacing w:after="60"/>
      </w:pPr>
      <w:r>
        <w:rPr>
          <w:sz w:val="18"/>
        </w:rPr>
        <w:t>Public pilot packs are design exemplars, not empirical outputs or eligible unseen instruments for practitioners previously exposed to them.</w:t>
      </w:r>
    </w:p>
    <w:p>
      <w:pPr>
        <w:pStyle w:val="ListParagraph"/>
        <w:numPr>
          <w:ilvl w:val="0"/>
          <w:numId w:val="5"/>
        </w:numPr>
        <w:spacing w:after="60"/>
      </w:pPr>
      <w:r>
        <w:rPr>
          <w:sz w:val="18"/>
        </w:rPr>
        <w:t>The testing programme remains planned. No independent-practitioner result is reported for any HAAD version.</w:t>
      </w:r>
    </w:p>
    <w:p>
      <w:pPr>
        <w:pStyle w:val="ListParagraph"/>
        <w:numPr>
          <w:ilvl w:val="0"/>
          <w:numId w:val="5"/>
        </w:numPr>
        <w:spacing w:after="60"/>
      </w:pPr>
      <w:r>
        <w:rPr>
          <w:sz w:val="18"/>
        </w:rPr>
        <w:t>Create the final PDFs only after the Markdown and Word sources are frozen. Reverify hashes, references, filenames, metadata, internal links, and layouts before publication.</w:t>
      </w:r>
    </w:p>
    <w:sectPr w:rsidR="009D4CDC">
      <w:headerReference w:type="default" r:id="rId7"/>
      <w:footerReference w:type="default" r:id="rId8"/>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DD322" w14:textId="77777777" w:rsidR="007A7EB1" w:rsidRDefault="007A7EB1">
      <w:pPr>
        <w:spacing w:after="0" w:line="240" w:lineRule="auto"/>
      </w:pPr>
      <w:r>
        <w:separator/>
      </w:r>
    </w:p>
  </w:endnote>
  <w:endnote w:type="continuationSeparator" w:id="0">
    <w:p w14:paraId="49107620" w14:textId="77777777" w:rsidR="007A7EB1" w:rsidRDefault="007A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CBE3" w14:textId="77777777" w:rsidR="007A7EB1" w:rsidRDefault="007A7EB1">
      <w:pPr>
        <w:spacing w:after="0" w:line="240" w:lineRule="auto"/>
      </w:pPr>
      <w:r>
        <w:separator/>
      </w:r>
    </w:p>
  </w:footnote>
  <w:footnote w:type="continuationSeparator" w:id="0">
    <w:p w14:paraId="1A37266D" w14:textId="77777777" w:rsidR="007A7EB1" w:rsidRDefault="007A7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color="C6C6D2" w:sz="4" w:space="4"/>
      </w:pBdr>
      <w:jc w:val="right"/>
    </w:pPr>
    <w:r>
      <w:rPr>
        <w:rFonts w:ascii="Calibri" w:cs="Calibri" w:eastAsia="Calibri" w:hAnsi="Calibri"/>
        <w:color w:val="7A7A85"/>
        <w:sz w:val="16"/>
        <w:szCs w:val="16"/>
      </w:rPr>
      <w:t>HAAD  ·  Version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1"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num w:numId="1" w16cid:durableId="237443457">
    <w:abstractNumId w:val="0"/>
    <w:lvlOverride w:ilvl="0">
      <w:startOverride w:val="1"/>
    </w:lvlOverride>
  </w:num>
  <w:num w:numId="2" w16cid:durableId="650014628">
    <w:abstractNumId w:val="1"/>
    <w:lvlOverride w:ilvl="0">
      <w:startOverride w:val="1"/>
    </w:lvlOverride>
  </w:num>
  <w:abstractNum w:abstractNumId="2">
    <w:multiLevelType w:val="singleLevel"/>
    <w:lvl w:ilvl="0">
      <w:start w:val="1"/>
      <w:numFmt w:val="bullet"/>
      <w:lvlText w:val="•"/>
      <w:lvlJc w:val="left"/>
      <w:pPr>
        <w:tabs>
          <w:tab w:val="num" w:pos="360"/>
        </w:tabs>
        <w:ind w:left="360" w:hanging="180"/>
      </w:pPr>
    </w:lvl>
  </w:abstractNum>
  <w:num w:numId="3">
    <w:abstractNumId w:val="2"/>
  </w:num>
  <w:abstractNum w:abstractNumId="3">
    <w:multiLevelType w:val="singleLevel"/>
    <w:lvl w:ilvl="0">
      <w:start w:val="1"/>
      <w:numFmt w:val="decimal"/>
      <w:lvlText w:val="%1."/>
      <w:lvlJc w:val="left"/>
      <w:pPr>
        <w:tabs>
          <w:tab w:val="num" w:pos="360"/>
        </w:tabs>
        <w:ind w:left="360" w:hanging="180"/>
      </w:pPr>
    </w:lvl>
  </w:abstractNum>
  <w:num w:numId="4">
    <w:abstractNumId w:val="3"/>
  </w:num>
  <w:abstractNum w:abstractNumId="4">
    <w:multiLevelType w:val="singleLevel"/>
    <w:lvl w:ilvl="0">
      <w:start w:val="1"/>
      <w:numFmt w:val="bullet"/>
      <w:lvlText w:val="•"/>
      <w:lvlJc w:val="left"/>
      <w:pPr>
        <w:tabs>
          <w:tab w:val="num" w:pos="360"/>
        </w:tabs>
        <w:ind w:left="360" w:hanging="180"/>
      </w:pPr>
    </w:lvl>
  </w:abstractNum>
  <w:num w:numId="5">
    <w:abstractNumId w:val="4"/>
  </w:num>
  <w:abstractNum w:abstractNumId="5">
    <w:multiLevelType w:val="singleLevel"/>
    <w:lvl w:ilvl="0">
      <w:start w:val="1"/>
      <w:numFmt w:val="decimal"/>
      <w:lvlText w:val="%1."/>
      <w:lvlJc w:val="left"/>
      <w:pPr>
        <w:tabs>
          <w:tab w:val="num" w:pos="360"/>
        </w:tabs>
        <w:ind w:left="360" w:hanging="180"/>
      </w:pPr>
      <w:suff w:val="space"/>
    </w:lvl>
  </w:abstract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106881"/>
    <w:rsid w:val="00126D87"/>
    <w:rsid w:val="0055384E"/>
    <w:rsid w:val="007A7EB1"/>
    <w:rsid w:val="007E65AA"/>
    <w:rsid w:val="009D4CDC"/>
    <w:rsid w:val="00B31319"/>
    <w:rsid w:val="00CB5A7A"/>
    <w:rsid w:val="00D61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doi.org/10.5281/zenodo.220999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Kevin_Watson_Publication_Template.dotx</Template>
  <TotalTime>3</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05_HAAD_RELEASE_MANIFEST_v0.5</dc:title>
  <dc:subject>HAAD Version 0.5 public release</dc:subject>
  <dc:creator>Kevin V. Watson</dc:creator>
  <dc:description>Reusable house-style template</dc:description>
  <cp:lastModifiedBy>Kevin Watson</cp:lastModifiedBy>
  <cp:revision>2</cp:revision>
  <dcterms:created xsi:type="dcterms:W3CDTF">2026-07-29T16:25:00Z</dcterms:created>
  <dcterms:modified xsi:type="dcterms:W3CDTF">2026-07-29T18:48:00Z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2e8dfd61-94f6-419e-b60c-2a0d6b81a133</vt:lpwstr>
  </property>
</Properties>
</file>