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29D0" w14:textId="77777777" w:rsidR="004E4C44" w:rsidRDefault="004E4C44">
      <w:pPr>
        <w:pStyle w:val="Title"/>
      </w:pPr>
    </w:p>
    <w:p w14:paraId="3D3CA58C" w14:textId="77777777" w:rsidR="004E4C44" w:rsidRDefault="004E4C44">
      <w:pPr>
        <w:pStyle w:val="Title"/>
      </w:pPr>
    </w:p>
    <w:p w14:paraId="2DD23181" w14:textId="3BFEE8FA" w:rsidR="00B95C0D" w:rsidRDefault="00B4103C">
      <w:pPr>
        <w:pStyle w:val="Title"/>
      </w:pPr>
      <w:r>
        <w:t>HAAD Version 0.4 Public Release</w:t>
      </w:r>
    </w:p>
    <w:p w14:paraId="73C1FE19" w14:textId="77777777" w:rsidR="00B95C0D" w:rsidRDefault="00B4103C">
      <w:pPr>
        <w:pStyle w:val="Subtitle"/>
      </w:pPr>
      <w:r>
        <w:t>Release, reading order, and licensing</w:t>
      </w:r>
    </w:p>
    <w:p w14:paraId="743DF5EC" w14:textId="77777777" w:rsidR="00B95C0D" w:rsidRDefault="00B4103C">
      <w:pPr>
        <w:pStyle w:val="Metadata"/>
      </w:pPr>
      <w:r>
        <w:rPr>
          <w:i/>
          <w:color w:val="66727E"/>
        </w:rPr>
        <w:t xml:space="preserve">Version </w:t>
      </w:r>
      <w:proofErr w:type="gramStart"/>
      <w:r>
        <w:rPr>
          <w:i/>
          <w:color w:val="66727E"/>
        </w:rPr>
        <w:t>0.4  ·</w:t>
      </w:r>
      <w:proofErr w:type="gramEnd"/>
      <w:r>
        <w:rPr>
          <w:i/>
          <w:color w:val="66727E"/>
        </w:rPr>
        <w:t xml:space="preserve">  Public-review and structured-testing draft</w:t>
      </w:r>
    </w:p>
    <w:p w14:paraId="08104DDB" w14:textId="77777777" w:rsidR="00B95C0D" w:rsidRDefault="00B95C0D"/>
    <w:p w14:paraId="74878C6B" w14:textId="77777777" w:rsidR="00B95C0D" w:rsidRDefault="00B4103C">
      <w:pPr>
        <w:pStyle w:val="Metadata"/>
      </w:pPr>
      <w:r>
        <w:rPr>
          <w:b/>
        </w:rPr>
        <w:t xml:space="preserve">Author:  </w:t>
      </w:r>
      <w:r>
        <w:t>Kevin V. Watson</w:t>
      </w:r>
    </w:p>
    <w:p w14:paraId="0F22D81D" w14:textId="77777777" w:rsidR="00B95C0D" w:rsidRDefault="00B4103C">
      <w:pPr>
        <w:pStyle w:val="Metadata"/>
      </w:pPr>
      <w:r>
        <w:rPr>
          <w:b/>
        </w:rPr>
        <w:t xml:space="preserve">DOI:  </w:t>
      </w:r>
      <w:r>
        <w:t>10.5281/zenodo.21683276</w:t>
      </w:r>
    </w:p>
    <w:p w14:paraId="46C99219" w14:textId="77777777" w:rsidR="00B95C0D" w:rsidRDefault="00B4103C">
      <w:pPr>
        <w:pStyle w:val="Metadata"/>
      </w:pPr>
      <w:r>
        <w:rPr>
          <w:b/>
        </w:rPr>
        <w:t xml:space="preserve">Release date:  </w:t>
      </w:r>
      <w:r>
        <w:t>July 29, 2026</w:t>
      </w:r>
    </w:p>
    <w:p w14:paraId="3DF6A073" w14:textId="77777777" w:rsidR="00B95C0D" w:rsidRDefault="00B4103C">
      <w:pPr>
        <w:pStyle w:val="Metadata"/>
      </w:pPr>
      <w:r>
        <w:rPr>
          <w:b/>
        </w:rPr>
        <w:t xml:space="preserve">Copyright:  </w:t>
      </w:r>
      <w:r>
        <w:t>Copyright © 2026 Kevin V. Watson. File-specific Creative Commons licences apply.</w:t>
      </w:r>
    </w:p>
    <w:p w14:paraId="39762DAD" w14:textId="77777777" w:rsidR="00B95C0D" w:rsidRDefault="00B95C0D"/>
    <w:p w14:paraId="05C30DC8" w14:textId="77777777" w:rsidR="00B95C0D" w:rsidRDefault="00B4103C">
      <w:pPr>
        <w:pStyle w:val="NoticeCallout"/>
      </w:pPr>
      <w:r>
        <w:rPr>
          <w:b/>
        </w:rPr>
        <w:t xml:space="preserve">Notice.  </w:t>
      </w:r>
      <w:r>
        <w:t>The sealed reference model is intentionally excluded from the public release. Publication before practitioner and independent-review analyses are complete would compromise the testing design.</w:t>
      </w:r>
    </w:p>
    <w:p w14:paraId="26F47385" w14:textId="77777777" w:rsidR="00B95C0D" w:rsidRDefault="00B4103C">
      <w:r>
        <w:br w:type="page"/>
      </w:r>
    </w:p>
    <w:p w14:paraId="0B008232" w14:textId="77777777" w:rsidR="00B95C0D" w:rsidRDefault="00B4103C">
      <w:pPr>
        <w:pStyle w:val="Heading1"/>
      </w:pPr>
      <w:r>
        <w:lastRenderedPageBreak/>
        <w:t>Reading order</w:t>
      </w:r>
    </w:p>
    <w:p w14:paraId="2D8F7994" w14:textId="77777777" w:rsidR="00B95C0D" w:rsidRDefault="00B4103C">
      <w:proofErr w:type="spellStart"/>
      <w:r>
        <w:t>Zenodo</w:t>
      </w:r>
      <w:proofErr w:type="spellEnd"/>
      <w:r>
        <w:t xml:space="preserve"> displays files alphabetically. Numeric prefixes enforce this reading order:</w:t>
      </w:r>
    </w:p>
    <w:p w14:paraId="7437EC31" w14:textId="77777777" w:rsidR="00B95C0D" w:rsidRDefault="00B4103C">
      <w:pPr>
        <w:pStyle w:val="ListParagraph"/>
        <w:numPr>
          <w:ilvl w:val="0"/>
          <w:numId w:val="3"/>
        </w:numPr>
      </w:pPr>
      <w:r>
        <w:rPr>
          <w:rFonts w:ascii="Consolas" w:hAnsi="Consolas"/>
          <w:sz w:val="18"/>
        </w:rPr>
        <w:t>00_HAAD_Methodology_v0.4</w:t>
      </w:r>
      <w:r>
        <w:t xml:space="preserve"> - canonical methodology and controlling specification.</w:t>
      </w:r>
    </w:p>
    <w:p w14:paraId="206D144E" w14:textId="77777777" w:rsidR="00B95C0D" w:rsidRDefault="00B4103C">
      <w:pPr>
        <w:pStyle w:val="ListParagraph"/>
        <w:numPr>
          <w:ilvl w:val="0"/>
          <w:numId w:val="3"/>
        </w:numPr>
      </w:pPr>
      <w:r>
        <w:rPr>
          <w:rFonts w:ascii="Consolas" w:hAnsi="Consolas"/>
          <w:sz w:val="18"/>
        </w:rPr>
        <w:t>01_HAAD_Executive_Overview_v0.4</w:t>
      </w:r>
      <w:r>
        <w:t xml:space="preserve"> - concise orientation.</w:t>
      </w:r>
    </w:p>
    <w:p w14:paraId="13B0BB99" w14:textId="77777777" w:rsidR="00B95C0D" w:rsidRDefault="00B4103C">
      <w:pPr>
        <w:pStyle w:val="ListParagraph"/>
        <w:numPr>
          <w:ilvl w:val="0"/>
          <w:numId w:val="3"/>
        </w:numPr>
      </w:pPr>
      <w:r>
        <w:rPr>
          <w:rFonts w:ascii="Consolas" w:hAnsi="Consolas"/>
          <w:sz w:val="18"/>
        </w:rPr>
        <w:t>02_HAAD_Practitioner_Workpapers_v0.4</w:t>
      </w:r>
      <w:r>
        <w:t xml:space="preserve"> - operational forms.</w:t>
      </w:r>
    </w:p>
    <w:p w14:paraId="7E198617" w14:textId="77777777" w:rsidR="00B95C0D" w:rsidRDefault="00B4103C">
      <w:pPr>
        <w:pStyle w:val="ListParagraph"/>
        <w:numPr>
          <w:ilvl w:val="0"/>
          <w:numId w:val="3"/>
        </w:numPr>
      </w:pPr>
      <w:r>
        <w:rPr>
          <w:rFonts w:ascii="Consolas" w:hAnsi="Consolas"/>
          <w:sz w:val="18"/>
        </w:rPr>
        <w:t>03_HAAD_Pilot_Evidence_Packs_v0.4</w:t>
      </w:r>
      <w:r>
        <w:t xml:space="preserve"> - practitioner-facing synthetic scenarios.</w:t>
      </w:r>
    </w:p>
    <w:p w14:paraId="343A1253" w14:textId="77777777" w:rsidR="00B95C0D" w:rsidRDefault="00B4103C">
      <w:pPr>
        <w:pStyle w:val="ListParagraph"/>
        <w:numPr>
          <w:ilvl w:val="0"/>
          <w:numId w:val="3"/>
        </w:numPr>
      </w:pPr>
      <w:r>
        <w:rPr>
          <w:rFonts w:ascii="Consolas" w:hAnsi="Consolas"/>
          <w:sz w:val="18"/>
        </w:rPr>
        <w:t>04_README_FIRST_HAAD_v0.4</w:t>
      </w:r>
      <w:r>
        <w:t xml:space="preserve"> - release and licensing information.</w:t>
      </w:r>
    </w:p>
    <w:p w14:paraId="32DDB845" w14:textId="77777777" w:rsidR="00B95C0D" w:rsidRDefault="00B4103C">
      <w:pPr>
        <w:pStyle w:val="ListParagraph"/>
        <w:numPr>
          <w:ilvl w:val="0"/>
          <w:numId w:val="3"/>
        </w:numPr>
      </w:pPr>
      <w:r>
        <w:rPr>
          <w:rFonts w:ascii="Consolas" w:hAnsi="Consolas"/>
          <w:sz w:val="18"/>
        </w:rPr>
        <w:t>05_HAAD_RELEASE_MANIFEST_v0.4</w:t>
      </w:r>
      <w:r>
        <w:t xml:space="preserve"> - file inventory and SHA-256 hashes.</w:t>
      </w:r>
    </w:p>
    <w:p w14:paraId="7EF2F8CB" w14:textId="77777777" w:rsidR="00B95C0D" w:rsidRDefault="00B4103C">
      <w:r>
        <w:t>Markdown, editable Word, and archival PDF versions are supplied. Files with the same numeric prefix contain the same substantive document in different formats.</w:t>
      </w:r>
    </w:p>
    <w:p w14:paraId="4A3F79C2" w14:textId="77777777" w:rsidR="00B95C0D" w:rsidRDefault="00B4103C">
      <w:pPr>
        <w:pStyle w:val="Heading1"/>
      </w:pPr>
      <w:r>
        <w:t>Controlled material excluded</w:t>
      </w:r>
    </w:p>
    <w:p w14:paraId="002EE49E" w14:textId="77777777" w:rsidR="00B95C0D" w:rsidRDefault="00B4103C">
      <w:r>
        <w:t xml:space="preserve">The sealed </w:t>
      </w:r>
      <w:r>
        <w:rPr>
          <w:i/>
        </w:rPr>
        <w:t>HAAD Structured-Scenario Pilot Reference Model and Agreement Instrument</w:t>
      </w:r>
      <w:r>
        <w:t xml:space="preserve"> is intentionally excluded from this public release. Public disclosure before practitioner and independent-review analyses are complete would compromise the testing design.</w:t>
      </w:r>
    </w:p>
    <w:p w14:paraId="22052C69" w14:textId="77777777" w:rsidR="00B95C0D" w:rsidRDefault="00B4103C">
      <w:pPr>
        <w:pStyle w:val="Heading1"/>
      </w:pPr>
      <w:r>
        <w:t>Copyright and licensing</w:t>
      </w:r>
    </w:p>
    <w:p w14:paraId="3B8575AA" w14:textId="77777777" w:rsidR="00B95C0D" w:rsidRDefault="00B4103C">
      <w:r>
        <w:t>Copyright © 2026 Kevin V. Watson.</w:t>
      </w:r>
    </w:p>
    <w:p w14:paraId="09FFC17E" w14:textId="77777777" w:rsidR="00B95C0D" w:rsidRDefault="00B4103C">
      <w:pPr>
        <w:pStyle w:val="ListParagraph"/>
        <w:numPr>
          <w:ilvl w:val="0"/>
          <w:numId w:val="1"/>
        </w:numPr>
      </w:pPr>
      <w:r>
        <w:t xml:space="preserve">The canonical methodology and executive overview are licensed under the </w:t>
      </w:r>
      <w:r>
        <w:rPr>
          <w:color w:val="0563C1"/>
          <w:u w:val="single"/>
        </w:rPr>
        <w:t>Creative Commons Attribution 4.0 International Licence</w:t>
      </w:r>
      <w:r>
        <w:t>.</w:t>
      </w:r>
    </w:p>
    <w:p w14:paraId="33AEC43C" w14:textId="77777777" w:rsidR="00B95C0D" w:rsidRDefault="00B4103C">
      <w:pPr>
        <w:pStyle w:val="ListParagraph"/>
        <w:numPr>
          <w:ilvl w:val="0"/>
          <w:numId w:val="1"/>
        </w:numPr>
      </w:pPr>
      <w:r>
        <w:t xml:space="preserve">The practitioner workpapers and pilot evidence packs are licensed under the </w:t>
      </w:r>
      <w:r>
        <w:rPr>
          <w:color w:val="0563C1"/>
          <w:u w:val="single"/>
        </w:rPr>
        <w:t>Creative Commons Attribution-</w:t>
      </w:r>
      <w:proofErr w:type="spellStart"/>
      <w:r>
        <w:rPr>
          <w:color w:val="0563C1"/>
          <w:u w:val="single"/>
        </w:rPr>
        <w:t>NonCommercial</w:t>
      </w:r>
      <w:proofErr w:type="spellEnd"/>
      <w:r>
        <w:rPr>
          <w:color w:val="0563C1"/>
          <w:u w:val="single"/>
        </w:rPr>
        <w:t xml:space="preserve"> 4.0 International Licence</w:t>
      </w:r>
      <w:r>
        <w:t>.</w:t>
      </w:r>
    </w:p>
    <w:p w14:paraId="52AAF3E2" w14:textId="77777777" w:rsidR="00B95C0D" w:rsidRDefault="00B4103C">
      <w:pPr>
        <w:pStyle w:val="ListParagraph"/>
        <w:numPr>
          <w:ilvl w:val="0"/>
          <w:numId w:val="1"/>
        </w:numPr>
      </w:pPr>
      <w:r>
        <w:t>Adaptations must identify their changes and must not be represented as official HAAD materials or as endorsed by the author.</w:t>
      </w:r>
    </w:p>
    <w:p w14:paraId="035B06E3" w14:textId="77777777" w:rsidR="00B95C0D" w:rsidRDefault="00B4103C">
      <w:r>
        <w:t>The licences govern the protected expression in these documents. They do not convert HAAD into a validated standard or authorize claims of certification, endorsement, or official status.</w:t>
      </w:r>
    </w:p>
    <w:p w14:paraId="5623E783" w14:textId="77777777" w:rsidR="00B95C0D" w:rsidRDefault="00B4103C">
      <w:pPr>
        <w:pStyle w:val="Heading1"/>
      </w:pPr>
      <w:r>
        <w:t>Suggested citation</w:t>
      </w:r>
    </w:p>
    <w:p w14:paraId="3A757D82" w14:textId="77777777" w:rsidR="00B95C0D" w:rsidRDefault="00B4103C">
      <w:r>
        <w:t xml:space="preserve">Watson, K. V. (2026). </w:t>
      </w:r>
      <w:r>
        <w:rPr>
          <w:i/>
        </w:rPr>
        <w:t>Human-Agent Attribution Discontinuity (HAAD): A forensic and assurance methodology</w:t>
      </w:r>
      <w:r>
        <w:t xml:space="preserve"> (Version 0.4) [Public-review and structured-testing draft]. </w:t>
      </w:r>
      <w:proofErr w:type="spellStart"/>
      <w:r>
        <w:t>Zenodo</w:t>
      </w:r>
      <w:proofErr w:type="spellEnd"/>
      <w:r>
        <w:t>. Add the version DOI assigned to this release.</w:t>
      </w:r>
    </w:p>
    <w:sectPr w:rsidR="00B95C0D">
      <w:headerReference w:type="default" r:id="rId7"/>
      <w:footerReference w:type="default" r:id="rId8"/>
      <w:pgSz w:w="12240" w:h="15840"/>
      <w:pgMar w:top="1080" w:right="1440" w:bottom="1080" w:left="1440" w:header="7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74AF0" w14:textId="77777777" w:rsidR="00B4103C" w:rsidRDefault="00B4103C">
      <w:pPr>
        <w:spacing w:after="0" w:line="240" w:lineRule="auto"/>
      </w:pPr>
      <w:r>
        <w:separator/>
      </w:r>
    </w:p>
  </w:endnote>
  <w:endnote w:type="continuationSeparator" w:id="0">
    <w:p w14:paraId="3CB2D289" w14:textId="77777777" w:rsidR="00B4103C" w:rsidRDefault="00B41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7044" w14:textId="77777777" w:rsidR="00CB5A7A" w:rsidRDefault="0055384E">
    <w:pPr>
      <w:pBdr>
        <w:top w:val="single" w:sz="4" w:space="4" w:color="9AA7B5"/>
      </w:pBdr>
      <w:spacing w:before="40"/>
      <w:jc w:val="center"/>
    </w:pPr>
    <w:r>
      <w:rPr>
        <w:rFonts w:ascii="Calibri" w:eastAsia="Calibri" w:hAnsi="Calibri" w:cs="Calibri"/>
        <w:color w:val="5A6470"/>
        <w:sz w:val="16"/>
        <w:szCs w:val="16"/>
      </w:rPr>
      <w:t xml:space="preserve">Kevin V. </w:t>
    </w:r>
    <w:proofErr w:type="gramStart"/>
    <w:r>
      <w:rPr>
        <w:rFonts w:ascii="Calibri" w:eastAsia="Calibri" w:hAnsi="Calibri" w:cs="Calibri"/>
        <w:color w:val="5A6470"/>
        <w:sz w:val="16"/>
        <w:szCs w:val="16"/>
      </w:rPr>
      <w:t>Watson  ·</w:t>
    </w:r>
    <w:proofErr w:type="gramEnd"/>
    <w:r>
      <w:rPr>
        <w:rFonts w:ascii="Calibri" w:eastAsia="Calibri" w:hAnsi="Calibri" w:cs="Calibri"/>
        <w:color w:val="5A6470"/>
        <w:sz w:val="16"/>
        <w:szCs w:val="16"/>
      </w:rPr>
      <w:t xml:space="preserve">  Page </w:t>
    </w:r>
    <w:r>
      <w:rPr>
        <w:rFonts w:ascii="Calibri" w:eastAsia="Calibri" w:hAnsi="Calibri" w:cs="Calibri"/>
        <w:color w:val="5A6470"/>
        <w:sz w:val="16"/>
        <w:szCs w:val="16"/>
      </w:rPr>
      <w:fldChar w:fldCharType="begin"/>
    </w:r>
    <w:r>
      <w:rPr>
        <w:rFonts w:ascii="Calibri" w:eastAsia="Calibri" w:hAnsi="Calibri" w:cs="Calibri"/>
        <w:color w:val="5A6470"/>
        <w:sz w:val="16"/>
        <w:szCs w:val="16"/>
      </w:rPr>
      <w:instrText>PAGE</w:instrText>
    </w:r>
    <w:r>
      <w:rPr>
        <w:rFonts w:ascii="Calibri" w:eastAsia="Calibri" w:hAnsi="Calibri" w:cs="Calibri"/>
        <w:color w:val="5A6470"/>
        <w:sz w:val="16"/>
        <w:szCs w:val="16"/>
      </w:rPr>
      <w:fldChar w:fldCharType="separate"/>
    </w:r>
    <w:r w:rsidR="00D61DB4">
      <w:rPr>
        <w:rFonts w:ascii="Calibri" w:eastAsia="Calibri" w:hAnsi="Calibri" w:cs="Calibri"/>
        <w:noProof/>
        <w:color w:val="5A6470"/>
        <w:sz w:val="16"/>
        <w:szCs w:val="16"/>
      </w:rPr>
      <w:t>1</w:t>
    </w:r>
    <w:r>
      <w:rPr>
        <w:rFonts w:ascii="Calibri" w:eastAsia="Calibri" w:hAnsi="Calibri" w:cs="Calibri"/>
        <w:color w:val="5A6470"/>
        <w:sz w:val="16"/>
        <w:szCs w:val="16"/>
      </w:rPr>
      <w:fldChar w:fldCharType="end"/>
    </w:r>
    <w:r>
      <w:rPr>
        <w:rFonts w:ascii="Calibri" w:eastAsia="Calibri" w:hAnsi="Calibri" w:cs="Calibri"/>
        <w:color w:val="5A6470"/>
        <w:sz w:val="16"/>
        <w:szCs w:val="16"/>
      </w:rPr>
      <w:t xml:space="preserve"> of </w:t>
    </w:r>
    <w:r>
      <w:rPr>
        <w:rFonts w:ascii="Calibri" w:eastAsia="Calibri" w:hAnsi="Calibri" w:cs="Calibri"/>
        <w:color w:val="5A6470"/>
        <w:sz w:val="16"/>
        <w:szCs w:val="16"/>
      </w:rPr>
      <w:fldChar w:fldCharType="begin"/>
    </w:r>
    <w:r>
      <w:rPr>
        <w:rFonts w:ascii="Calibri" w:eastAsia="Calibri" w:hAnsi="Calibri" w:cs="Calibri"/>
        <w:color w:val="5A6470"/>
        <w:sz w:val="16"/>
        <w:szCs w:val="16"/>
      </w:rPr>
      <w:instrText>NUMPAGES</w:instrText>
    </w:r>
    <w:r>
      <w:rPr>
        <w:rFonts w:ascii="Calibri" w:eastAsia="Calibri" w:hAnsi="Calibri" w:cs="Calibri"/>
        <w:color w:val="5A6470"/>
        <w:sz w:val="16"/>
        <w:szCs w:val="16"/>
      </w:rPr>
      <w:fldChar w:fldCharType="separate"/>
    </w:r>
    <w:r w:rsidR="00D61DB4">
      <w:rPr>
        <w:rFonts w:ascii="Calibri" w:eastAsia="Calibri" w:hAnsi="Calibri" w:cs="Calibri"/>
        <w:noProof/>
        <w:color w:val="5A6470"/>
        <w:sz w:val="16"/>
        <w:szCs w:val="16"/>
      </w:rPr>
      <w:t>2</w:t>
    </w:r>
    <w:r>
      <w:rPr>
        <w:rFonts w:ascii="Calibri" w:eastAsia="Calibri" w:hAnsi="Calibri" w:cs="Calibri"/>
        <w:color w:val="5A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1CAD" w14:textId="77777777" w:rsidR="00B4103C" w:rsidRDefault="00B4103C">
      <w:pPr>
        <w:spacing w:after="0" w:line="240" w:lineRule="auto"/>
      </w:pPr>
      <w:r>
        <w:separator/>
      </w:r>
    </w:p>
  </w:footnote>
  <w:footnote w:type="continuationSeparator" w:id="0">
    <w:p w14:paraId="11BB5195" w14:textId="77777777" w:rsidR="00B4103C" w:rsidRDefault="00B41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0A12" w14:textId="77777777" w:rsidR="00CB5A7A" w:rsidRDefault="0055384E">
    <w:pPr>
      <w:pBdr>
        <w:bottom w:val="single" w:sz="4" w:space="4" w:color="9AA7B5"/>
      </w:pBdr>
      <w:spacing w:after="40"/>
      <w:jc w:val="right"/>
    </w:pPr>
    <w:r>
      <w:rPr>
        <w:rFonts w:ascii="Calibri" w:hAnsi="Calibri"/>
        <w:color w:val="66727E"/>
        <w:sz w:val="16"/>
      </w:rPr>
      <w:t xml:space="preserve">HAAD Public </w:t>
    </w:r>
    <w:proofErr w:type="gramStart"/>
    <w:r>
      <w:rPr>
        <w:rFonts w:ascii="Calibri" w:hAnsi="Calibri"/>
        <w:color w:val="66727E"/>
        <w:sz w:val="16"/>
      </w:rPr>
      <w:t>Release  ·</w:t>
    </w:r>
    <w:proofErr w:type="gramEnd"/>
    <w:r>
      <w:rPr>
        <w:rFonts w:ascii="Calibri" w:hAnsi="Calibri"/>
        <w:color w:val="66727E"/>
        <w:sz w:val="16"/>
      </w:rPr>
      <w:t xml:space="preserve">  Version 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39E"/>
    <w:multiLevelType w:val="hybridMultilevel"/>
    <w:tmpl w:val="CD442D72"/>
    <w:lvl w:ilvl="0" w:tplc="DF207FB0">
      <w:start w:val="1"/>
      <w:numFmt w:val="bullet"/>
      <w:lvlText w:val="●"/>
      <w:lvlJc w:val="left"/>
      <w:pPr>
        <w:ind w:left="720" w:hanging="360"/>
      </w:pPr>
    </w:lvl>
    <w:lvl w:ilvl="1" w:tplc="1D246AD4">
      <w:start w:val="1"/>
      <w:numFmt w:val="bullet"/>
      <w:lvlText w:val="○"/>
      <w:lvlJc w:val="left"/>
      <w:pPr>
        <w:ind w:left="1440" w:hanging="360"/>
      </w:pPr>
    </w:lvl>
    <w:lvl w:ilvl="2" w:tplc="E4564C7C">
      <w:start w:val="1"/>
      <w:numFmt w:val="bullet"/>
      <w:lvlText w:val="■"/>
      <w:lvlJc w:val="left"/>
      <w:pPr>
        <w:ind w:left="2160" w:hanging="360"/>
      </w:pPr>
    </w:lvl>
    <w:lvl w:ilvl="3" w:tplc="AA14359A">
      <w:start w:val="1"/>
      <w:numFmt w:val="bullet"/>
      <w:lvlText w:val="●"/>
      <w:lvlJc w:val="left"/>
      <w:pPr>
        <w:ind w:left="2880" w:hanging="360"/>
      </w:pPr>
    </w:lvl>
    <w:lvl w:ilvl="4" w:tplc="B9EAC184">
      <w:start w:val="1"/>
      <w:numFmt w:val="bullet"/>
      <w:lvlText w:val="○"/>
      <w:lvlJc w:val="left"/>
      <w:pPr>
        <w:ind w:left="3600" w:hanging="360"/>
      </w:pPr>
    </w:lvl>
    <w:lvl w:ilvl="5" w:tplc="92626776">
      <w:start w:val="1"/>
      <w:numFmt w:val="bullet"/>
      <w:lvlText w:val="■"/>
      <w:lvlJc w:val="left"/>
      <w:pPr>
        <w:ind w:left="4320" w:hanging="360"/>
      </w:pPr>
    </w:lvl>
    <w:lvl w:ilvl="6" w:tplc="7B6A12A8">
      <w:start w:val="1"/>
      <w:numFmt w:val="bullet"/>
      <w:lvlText w:val="●"/>
      <w:lvlJc w:val="left"/>
      <w:pPr>
        <w:ind w:left="5040" w:hanging="360"/>
      </w:pPr>
    </w:lvl>
    <w:lvl w:ilvl="7" w:tplc="334C6D4E">
      <w:start w:val="1"/>
      <w:numFmt w:val="bullet"/>
      <w:lvlText w:val="●"/>
      <w:lvlJc w:val="left"/>
      <w:pPr>
        <w:ind w:left="5760" w:hanging="360"/>
      </w:pPr>
    </w:lvl>
    <w:lvl w:ilvl="8" w:tplc="B71E95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F7CCB"/>
    <w:multiLevelType w:val="hybridMultilevel"/>
    <w:tmpl w:val="728857F8"/>
    <w:lvl w:ilvl="0" w:tplc="4CFE16BE">
      <w:start w:val="1"/>
      <w:numFmt w:val="decimal"/>
      <w:lvlText w:val="%1."/>
      <w:lvlJc w:val="left"/>
      <w:pPr>
        <w:ind w:left="504" w:hanging="360"/>
      </w:pPr>
    </w:lvl>
    <w:lvl w:ilvl="1" w:tplc="CAF46994">
      <w:numFmt w:val="decimal"/>
      <w:lvlText w:val=""/>
      <w:lvlJc w:val="left"/>
    </w:lvl>
    <w:lvl w:ilvl="2" w:tplc="E3526D40">
      <w:numFmt w:val="decimal"/>
      <w:lvlText w:val=""/>
      <w:lvlJc w:val="left"/>
    </w:lvl>
    <w:lvl w:ilvl="3" w:tplc="B32E5FA0">
      <w:numFmt w:val="decimal"/>
      <w:lvlText w:val=""/>
      <w:lvlJc w:val="left"/>
    </w:lvl>
    <w:lvl w:ilvl="4" w:tplc="02944E08">
      <w:numFmt w:val="decimal"/>
      <w:lvlText w:val=""/>
      <w:lvlJc w:val="left"/>
    </w:lvl>
    <w:lvl w:ilvl="5" w:tplc="ECA4F4EC">
      <w:numFmt w:val="decimal"/>
      <w:lvlText w:val=""/>
      <w:lvlJc w:val="left"/>
    </w:lvl>
    <w:lvl w:ilvl="6" w:tplc="A0AC8F42">
      <w:numFmt w:val="decimal"/>
      <w:lvlText w:val=""/>
      <w:lvlJc w:val="left"/>
    </w:lvl>
    <w:lvl w:ilvl="7" w:tplc="524ECED6">
      <w:numFmt w:val="decimal"/>
      <w:lvlText w:val=""/>
      <w:lvlJc w:val="left"/>
    </w:lvl>
    <w:lvl w:ilvl="8" w:tplc="6B4840EA">
      <w:numFmt w:val="decimal"/>
      <w:lvlText w:val=""/>
      <w:lvlJc w:val="left"/>
    </w:lvl>
  </w:abstractNum>
  <w:num w:numId="1" w16cid:durableId="237443457">
    <w:abstractNumId w:val="0"/>
    <w:lvlOverride w:ilvl="0">
      <w:startOverride w:val="1"/>
    </w:lvlOverride>
  </w:num>
  <w:num w:numId="2" w16cid:durableId="650014628">
    <w:abstractNumId w:val="1"/>
    <w:lvlOverride w:ilvl="0">
      <w:startOverride w:val="1"/>
    </w:lvlOverride>
  </w:num>
  <w:num w:numId="3" w16cid:durableId="4792759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81"/>
    <w:rsid w:val="000F5EF4"/>
    <w:rsid w:val="00106881"/>
    <w:rsid w:val="00126D87"/>
    <w:rsid w:val="004E4C44"/>
    <w:rsid w:val="0055384E"/>
    <w:rsid w:val="00B4103C"/>
    <w:rsid w:val="00B95C0D"/>
    <w:rsid w:val="00CB5A7A"/>
    <w:rsid w:val="00D6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6F56"/>
  <w15:docId w15:val="{F47390DA-350B-4C3B-92C0-25D45A92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222222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9AA7B5"/>
      </w:pBdr>
      <w:spacing w:before="360" w:after="140"/>
      <w:outlineLvl w:val="0"/>
    </w:pPr>
    <w:rPr>
      <w:rFonts w:ascii="Calibri" w:eastAsia="Calibri" w:hAnsi="Calibri" w:cs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00"/>
      <w:outlineLvl w:val="1"/>
    </w:pPr>
    <w:rPr>
      <w:rFonts w:ascii="Calibri" w:eastAsia="Calibri" w:hAnsi="Calibri" w:cs="Calibri"/>
      <w:b/>
      <w:bCs/>
      <w:color w:val="34567C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rFonts w:ascii="Calibri" w:eastAsia="Calibri" w:hAnsi="Calibri" w:cs="Calibri"/>
      <w:b/>
      <w:bCs/>
      <w:color w:val="34567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60"/>
    </w:pPr>
    <w:rPr>
      <w:rFonts w:ascii="Calibri" w:eastAsia="Calibri" w:hAnsi="Calibri" w:cs="Calibri"/>
      <w:b/>
      <w:bCs/>
      <w:color w:val="1F3A5F"/>
      <w:sz w:val="52"/>
      <w:szCs w:val="52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next w:val="Normal"/>
    <w:qFormat/>
    <w:pPr>
      <w:spacing w:after="80" w:line="268" w:lineRule="auto"/>
    </w:pPr>
  </w:style>
  <w:style w:type="character" w:styleId="Hyperlink">
    <w:name w:val="Hyperlink"/>
    <w:uiPriority w:val="99"/>
    <w:unhideWhenUsed/>
    <w:rPr>
      <w:color w:val="1F5FA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30"/>
    </w:pPr>
    <w:rPr>
      <w:rFonts w:ascii="Calibri" w:eastAsia="Calibri" w:hAnsi="Calibri" w:cs="Calibri"/>
      <w:color w:val="34567C"/>
      <w:sz w:val="30"/>
      <w:szCs w:val="30"/>
    </w:rPr>
  </w:style>
  <w:style w:type="paragraph" w:customStyle="1" w:styleId="Metadata">
    <w:name w:val="Metadata"/>
    <w:basedOn w:val="Normal"/>
    <w:next w:val="Normal"/>
    <w:qFormat/>
    <w:pPr>
      <w:spacing w:after="90" w:line="264" w:lineRule="auto"/>
    </w:pPr>
    <w:rPr>
      <w:sz w:val="21"/>
      <w:szCs w:val="21"/>
    </w:rPr>
  </w:style>
  <w:style w:type="paragraph" w:styleId="Quote">
    <w:name w:val="Quote"/>
    <w:basedOn w:val="Normal"/>
    <w:next w:val="Normal"/>
    <w:qFormat/>
    <w:pPr>
      <w:pBdr>
        <w:left w:val="single" w:sz="18" w:space="12" w:color="1F3A5F"/>
      </w:pBdr>
      <w:shd w:val="clear" w:color="auto" w:fill="F7F8FA"/>
      <w:spacing w:before="60" w:line="268" w:lineRule="auto"/>
      <w:ind w:left="431"/>
    </w:pPr>
    <w:rPr>
      <w:color w:val="2B2B2B"/>
    </w:rPr>
  </w:style>
  <w:style w:type="paragraph" w:customStyle="1" w:styleId="NoticeCallout">
    <w:name w:val="Notice Callout"/>
    <w:basedOn w:val="Normal"/>
    <w:next w:val="Normal"/>
    <w:qFormat/>
    <w:pPr>
      <w:pBdr>
        <w:top w:val="single" w:sz="4" w:space="8" w:color="D9B98A"/>
        <w:left w:val="single" w:sz="18" w:space="10" w:color="C68B3C"/>
        <w:bottom w:val="single" w:sz="4" w:space="8" w:color="D9B98A"/>
        <w:right w:val="single" w:sz="4" w:space="8" w:color="D9B98A"/>
      </w:pBdr>
      <w:shd w:val="clear" w:color="auto" w:fill="FBF3E7"/>
      <w:spacing w:before="40" w:line="268" w:lineRule="auto"/>
      <w:ind w:left="215" w:right="215"/>
    </w:pPr>
    <w:rPr>
      <w:color w:val="3D3423"/>
    </w:rPr>
  </w:style>
  <w:style w:type="paragraph" w:customStyle="1" w:styleId="CodeBlock">
    <w:name w:val="Code Block"/>
    <w:basedOn w:val="Normal"/>
    <w:next w:val="Normal"/>
    <w:qFormat/>
    <w:pPr>
      <w:pBdr>
        <w:left w:val="single" w:sz="4" w:space="6" w:color="D4D9DF"/>
        <w:right w:val="single" w:sz="4" w:space="6" w:color="D4D9DF"/>
      </w:pBdr>
      <w:shd w:val="clear" w:color="auto" w:fill="F4F5F7"/>
      <w:spacing w:after="0" w:line="240" w:lineRule="auto"/>
      <w:ind w:left="215" w:right="215"/>
    </w:pPr>
    <w:rPr>
      <w:rFonts w:ascii="Consolas" w:eastAsia="Consolas" w:hAnsi="Consolas" w:cs="Consolas"/>
      <w:color w:val="24292E"/>
      <w:sz w:val="18"/>
      <w:szCs w:val="18"/>
    </w:rPr>
  </w:style>
  <w:style w:type="paragraph" w:customStyle="1" w:styleId="Reference">
    <w:name w:val="Reference"/>
    <w:basedOn w:val="Normal"/>
    <w:qFormat/>
    <w:pPr>
      <w:spacing w:after="120" w:line="264" w:lineRule="auto"/>
      <w:ind w:left="720" w:hanging="720"/>
    </w:pPr>
    <w:rPr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D61D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1D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1DB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\AI%20Methodology\methodologies\human-agent-attribution-discontinuity\version-0.4\release\zenodo-public\Kevin_Watson_Publicatio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Kevin_Watson_Publication_Template.dotx</Template>
  <TotalTime>0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HAAD Version 0.4 Public Release</dc:title>
  <dc:subject>Release, reading order, and licensing</dc:subject>
  <dc:creator>Kevin V. Watson</dc:creator>
  <dc:description>Reusable house-style template</dc:description>
  <cp:lastModifiedBy>Kevin Watson</cp:lastModifiedBy>
  <cp:revision>2</cp:revision>
  <dcterms:created xsi:type="dcterms:W3CDTF">2026-07-29T16:25:00Z</dcterms:created>
  <dcterms:modified xsi:type="dcterms:W3CDTF">2026-07-29T17:33:00Z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5aff57ca-68c0-438f-a2e3-55700b0a748a</vt:lpwstr>
  </property>
</Properties>
</file>