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Binary Search Tree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[7, 5, 1, 8, 3, 6, 0, 9, 4, 2] dizisinin Binary-Search-Tree aşamalarını yazınız.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root 7’dir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Nunito" w:cs="Nunito" w:eastAsia="Nunito" w:hAnsi="Nunito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                            7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 5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Nunito" w:cs="Nunito" w:eastAsia="Nunito" w:hAnsi="Nunito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                            7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 5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1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Nunito" w:cs="Nunito" w:eastAsia="Nunito" w:hAnsi="Nunito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                           7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5                                                           8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1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Nunito" w:cs="Nunito" w:eastAsia="Nunito" w:hAnsi="Nunito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                           7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5                                                           8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1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3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                              7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5                                                           8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1                                      6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3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7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5                                                           8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1                                      6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3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25">
      <w:pPr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7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5                                                           8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1                                      6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ind w:left="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0                 3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7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        5                                                           8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1                                      6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0                 3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  4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Nunito" w:cs="Nunito" w:eastAsia="Nunito" w:hAnsi="Nunito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7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                    5                                                           8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1                                      6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0                 3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            2              4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highlight w:val="white"/>
          <w:rtl w:val="0"/>
        </w:rPr>
        <w:t xml:space="preserve">İlk aşamada 7’yi tek başına yazarak birinci adım olarak alabiliriz. Sonrasında 7’nin altına 5 gelerek bir basamak kayarak 2,3,4 şeklinde gidecek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