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20" w:after="240"/>
        <w:jc w:val="right"/>
        <w:bidi w:val="1"/>
      </w:pPr>
      <w:r>
        <w:rPr>
          <w:rFonts w:ascii="Arial" w:hAnsi="Arial" w:cs="Arial"/>
          <w:b/>
          <w:color w:val="171713"/>
          <w:sz w:val="56"/>
          <w:rtl w:val="1"/>
        </w:rPr>
        <w:t>عرض تنفيذ وإطلاق الموقع الشخصي لأنس عبدالله القرني</w:t>
      </w:r>
    </w:p>
    <w:p>
      <w:pPr>
        <w:pStyle w:val="Subtitle"/>
        <w:spacing w:after="560"/>
        <w:jc w:val="right"/>
        <w:bidi w:val="1"/>
      </w:pPr>
      <w:r>
        <w:rPr>
          <w:rFonts w:ascii="Arial" w:hAnsi="Arial" w:cs="Arial"/>
          <w:color w:val="171713"/>
          <w:sz w:val="28"/>
          <w:rtl w:val="1"/>
        </w:rPr>
        <w:t>نسخة الإطلاق الأولى للموقع العربي anasaq.me</w:t>
      </w:r>
    </w:p>
    <w:tbl>
      <w:tblPr>
        <w:tblW w:type="auto" w:w="0"/>
        <w:jc w:val="center"/>
        <w:tblLayout w:type="fixed"/>
        <w:tblLook w:firstColumn="1" w:firstRow="1" w:lastColumn="0" w:lastRow="0" w:noHBand="0" w:noVBand="1" w:val="04A0"/>
        <w:bidiVisual w:val="1"/>
      </w:tblPr>
      <w:tblGrid>
        <w:gridCol w:w="4997"/>
        <w:gridCol w:w="4997"/>
      </w:tblGrid>
      <w:tr>
        <w:tc>
          <w:tcPr>
            <w:tcW w:type="dxa" w:w="2376"/>
            <w:vAlign w:val="center"/>
            <w:shd w:fill="E8EEE8"/>
            <w:tcBorders>
              <w:top w:val="single" w:sz="6" w:color="D9D9D2"/>
              <w:left w:val="single" w:sz="6" w:color="D9D9D2"/>
              <w:bottom w:val="single" w:sz="6" w:color="D9D9D2"/>
              <w:right w:val="single" w:sz="6" w:color="D9D9D2"/>
              <w:insideH w:val="single" w:sz="6" w:color="D9D9D2"/>
              <w:insideV w:val="single" w:sz="6" w:color="D9D9D2"/>
            </w:tcBorders>
            <w:tcMar>
              <w:top w:w="150" w:type="dxa"/>
              <w:start w:w="160" w:type="dxa"/>
              <w:bottom w:w="150" w:type="dxa"/>
              <w:end w:w="160" w:type="dxa"/>
            </w:tcMar>
          </w:tcPr>
          <w:p>
            <w:pPr>
              <w:spacing w:after="0"/>
              <w:jc w:val="right"/>
              <w:bidi w:val="1"/>
            </w:pPr>
            <w:r>
              <w:rPr>
                <w:rFonts w:ascii="Arial" w:hAnsi="Arial" w:cs="Arial"/>
                <w:b/>
                <w:color w:val="171713"/>
                <w:sz w:val="23"/>
                <w:rtl w:val="1"/>
              </w:rPr>
              <w:t>مقدّم إلى</w:t>
            </w:r>
          </w:p>
        </w:tc>
        <w:tc>
          <w:tcPr>
            <w:tcW w:type="dxa" w:w="6912"/>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50" w:type="dxa"/>
              <w:start w:w="160" w:type="dxa"/>
              <w:bottom w:w="150" w:type="dxa"/>
              <w:end w:w="160" w:type="dxa"/>
            </w:tcMar>
          </w:tcPr>
          <w:p>
            <w:pPr>
              <w:spacing w:after="0"/>
              <w:jc w:val="right"/>
              <w:bidi w:val="1"/>
            </w:pPr>
            <w:r>
              <w:rPr>
                <w:rFonts w:ascii="Arial" w:hAnsi="Arial" w:cs="Arial"/>
                <w:b w:val="0"/>
                <w:color w:val="171713"/>
                <w:sz w:val="23"/>
                <w:rtl w:val="1"/>
              </w:rPr>
              <w:t>أنس عبدالله القرني</w:t>
            </w:r>
          </w:p>
        </w:tc>
      </w:tr>
      <w:tr>
        <w:tc>
          <w:tcPr>
            <w:tcW w:type="dxa" w:w="2376"/>
            <w:vAlign w:val="center"/>
            <w:shd w:fill="E8EEE8"/>
            <w:tcBorders>
              <w:top w:val="single" w:sz="6" w:color="D9D9D2"/>
              <w:left w:val="single" w:sz="6" w:color="D9D9D2"/>
              <w:bottom w:val="single" w:sz="6" w:color="D9D9D2"/>
              <w:right w:val="single" w:sz="6" w:color="D9D9D2"/>
              <w:insideH w:val="single" w:sz="6" w:color="D9D9D2"/>
              <w:insideV w:val="single" w:sz="6" w:color="D9D9D2"/>
            </w:tcBorders>
            <w:tcMar>
              <w:top w:w="150" w:type="dxa"/>
              <w:start w:w="160" w:type="dxa"/>
              <w:bottom w:w="150" w:type="dxa"/>
              <w:end w:w="160" w:type="dxa"/>
            </w:tcMar>
          </w:tcPr>
          <w:p>
            <w:pPr>
              <w:spacing w:after="0"/>
              <w:jc w:val="right"/>
              <w:bidi w:val="1"/>
            </w:pPr>
            <w:r>
              <w:rPr>
                <w:rFonts w:ascii="Arial" w:hAnsi="Arial" w:cs="Arial"/>
                <w:b/>
                <w:color w:val="171713"/>
                <w:sz w:val="23"/>
                <w:rtl w:val="1"/>
              </w:rPr>
              <w:t>مقدّم من</w:t>
            </w:r>
          </w:p>
        </w:tc>
        <w:tc>
          <w:tcPr>
            <w:tcW w:type="dxa" w:w="6912"/>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50" w:type="dxa"/>
              <w:start w:w="160" w:type="dxa"/>
              <w:bottom w:w="150" w:type="dxa"/>
              <w:end w:w="160" w:type="dxa"/>
            </w:tcMar>
          </w:tcPr>
          <w:p>
            <w:pPr>
              <w:spacing w:after="0"/>
              <w:jc w:val="right"/>
              <w:bidi w:val="1"/>
            </w:pPr>
            <w:r>
              <w:rPr>
                <w:rFonts w:ascii="Arial" w:hAnsi="Arial" w:cs="Arial"/>
                <w:b w:val="0"/>
                <w:color w:val="171713"/>
                <w:sz w:val="23"/>
                <w:rtl w:val="1"/>
              </w:rPr>
              <w:t>ماجد</w:t>
            </w:r>
          </w:p>
        </w:tc>
      </w:tr>
      <w:tr>
        <w:tc>
          <w:tcPr>
            <w:tcW w:type="dxa" w:w="2376"/>
            <w:vAlign w:val="center"/>
            <w:shd w:fill="E8EEE8"/>
            <w:tcBorders>
              <w:top w:val="single" w:sz="6" w:color="D9D9D2"/>
              <w:left w:val="single" w:sz="6" w:color="D9D9D2"/>
              <w:bottom w:val="single" w:sz="6" w:color="D9D9D2"/>
              <w:right w:val="single" w:sz="6" w:color="D9D9D2"/>
              <w:insideH w:val="single" w:sz="6" w:color="D9D9D2"/>
              <w:insideV w:val="single" w:sz="6" w:color="D9D9D2"/>
            </w:tcBorders>
            <w:tcMar>
              <w:top w:w="150" w:type="dxa"/>
              <w:start w:w="160" w:type="dxa"/>
              <w:bottom w:w="150" w:type="dxa"/>
              <w:end w:w="160" w:type="dxa"/>
            </w:tcMar>
          </w:tcPr>
          <w:p>
            <w:pPr>
              <w:spacing w:after="0"/>
              <w:jc w:val="right"/>
              <w:bidi w:val="1"/>
            </w:pPr>
            <w:r>
              <w:rPr>
                <w:rFonts w:ascii="Arial" w:hAnsi="Arial" w:cs="Arial"/>
                <w:b/>
                <w:color w:val="171713"/>
                <w:sz w:val="23"/>
                <w:rtl w:val="1"/>
              </w:rPr>
              <w:t>تاريخ العرض</w:t>
            </w:r>
          </w:p>
        </w:tc>
        <w:tc>
          <w:tcPr>
            <w:tcW w:type="dxa" w:w="6912"/>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50" w:type="dxa"/>
              <w:start w:w="160" w:type="dxa"/>
              <w:bottom w:w="150" w:type="dxa"/>
              <w:end w:w="160" w:type="dxa"/>
            </w:tcMar>
          </w:tcPr>
          <w:p>
            <w:pPr>
              <w:spacing w:after="0"/>
              <w:jc w:val="right"/>
              <w:bidi w:val="1"/>
            </w:pPr>
            <w:r>
              <w:rPr>
                <w:rFonts w:ascii="Arial" w:hAnsi="Arial" w:cs="Arial"/>
                <w:b/>
                <w:color w:val="171713"/>
                <w:sz w:val="23"/>
                <w:rtl w:val="1"/>
              </w:rPr>
              <w:t>19 سبتمبر 2026</w:t>
            </w:r>
          </w:p>
        </w:tc>
      </w:tr>
      <w:tr>
        <w:tc>
          <w:tcPr>
            <w:tcW w:type="dxa" w:w="2376"/>
            <w:vAlign w:val="center"/>
            <w:shd w:fill="E8EEE8"/>
            <w:tcBorders>
              <w:top w:val="single" w:sz="6" w:color="D9D9D2"/>
              <w:left w:val="single" w:sz="6" w:color="D9D9D2"/>
              <w:bottom w:val="single" w:sz="6" w:color="D9D9D2"/>
              <w:right w:val="single" w:sz="6" w:color="D9D9D2"/>
              <w:insideH w:val="single" w:sz="6" w:color="D9D9D2"/>
              <w:insideV w:val="single" w:sz="6" w:color="D9D9D2"/>
            </w:tcBorders>
            <w:tcMar>
              <w:top w:w="150" w:type="dxa"/>
              <w:start w:w="160" w:type="dxa"/>
              <w:bottom w:w="150" w:type="dxa"/>
              <w:end w:w="160" w:type="dxa"/>
            </w:tcMar>
          </w:tcPr>
          <w:p>
            <w:pPr>
              <w:spacing w:after="0"/>
              <w:jc w:val="right"/>
              <w:bidi w:val="1"/>
            </w:pPr>
            <w:r>
              <w:rPr>
                <w:rFonts w:ascii="Arial" w:hAnsi="Arial" w:cs="Arial"/>
                <w:b/>
                <w:color w:val="171713"/>
                <w:sz w:val="23"/>
                <w:rtl w:val="1"/>
              </w:rPr>
              <w:t>قيمة العرض</w:t>
            </w:r>
          </w:p>
        </w:tc>
        <w:tc>
          <w:tcPr>
            <w:tcW w:type="dxa" w:w="6912"/>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50" w:type="dxa"/>
              <w:start w:w="160" w:type="dxa"/>
              <w:bottom w:w="150" w:type="dxa"/>
              <w:end w:w="160" w:type="dxa"/>
            </w:tcMar>
          </w:tcPr>
          <w:p>
            <w:pPr>
              <w:spacing w:after="0"/>
              <w:jc w:val="right"/>
              <w:bidi w:val="1"/>
            </w:pPr>
            <w:r>
              <w:rPr>
                <w:rFonts w:ascii="Arial" w:hAnsi="Arial" w:cs="Arial"/>
                <w:b/>
                <w:color w:val="171713"/>
                <w:sz w:val="23"/>
                <w:rtl w:val="1"/>
              </w:rPr>
              <w:t>5,500 ريال سعودي</w:t>
            </w:r>
          </w:p>
        </w:tc>
      </w:tr>
      <w:tr>
        <w:tc>
          <w:tcPr>
            <w:tcW w:type="dxa" w:w="2376"/>
            <w:vAlign w:val="center"/>
            <w:shd w:fill="E8EEE8"/>
            <w:tcBorders>
              <w:top w:val="single" w:sz="6" w:color="D9D9D2"/>
              <w:left w:val="single" w:sz="6" w:color="D9D9D2"/>
              <w:bottom w:val="single" w:sz="6" w:color="D9D9D2"/>
              <w:right w:val="single" w:sz="6" w:color="D9D9D2"/>
              <w:insideH w:val="single" w:sz="6" w:color="D9D9D2"/>
              <w:insideV w:val="single" w:sz="6" w:color="D9D9D2"/>
            </w:tcBorders>
            <w:tcMar>
              <w:top w:w="150" w:type="dxa"/>
              <w:start w:w="160" w:type="dxa"/>
              <w:bottom w:w="150" w:type="dxa"/>
              <w:end w:w="160" w:type="dxa"/>
            </w:tcMar>
          </w:tcPr>
          <w:p>
            <w:pPr>
              <w:spacing w:after="0"/>
              <w:jc w:val="right"/>
              <w:bidi w:val="1"/>
            </w:pPr>
            <w:r>
              <w:rPr>
                <w:rFonts w:ascii="Arial" w:hAnsi="Arial" w:cs="Arial"/>
                <w:b/>
                <w:color w:val="171713"/>
                <w:sz w:val="23"/>
                <w:rtl w:val="1"/>
              </w:rPr>
              <w:t>مدة التنفيذ</w:t>
            </w:r>
          </w:p>
        </w:tc>
        <w:tc>
          <w:tcPr>
            <w:tcW w:type="dxa" w:w="6912"/>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50" w:type="dxa"/>
              <w:start w:w="160" w:type="dxa"/>
              <w:bottom w:w="150" w:type="dxa"/>
              <w:end w:w="160" w:type="dxa"/>
            </w:tcMar>
          </w:tcPr>
          <w:p>
            <w:pPr>
              <w:spacing w:after="0"/>
              <w:jc w:val="right"/>
              <w:bidi w:val="1"/>
            </w:pPr>
            <w:r>
              <w:rPr>
                <w:rFonts w:ascii="Arial" w:hAnsi="Arial" w:cs="Arial"/>
                <w:b/>
                <w:color w:val="171713"/>
                <w:sz w:val="23"/>
                <w:rtl w:val="1"/>
              </w:rPr>
              <w:t>20 إلى 25 يوم عمل بعد اكتمال المتطلبات</w:t>
            </w:r>
          </w:p>
        </w:tc>
      </w:tr>
    </w:tbl>
    <w:p>
      <w:pPr>
        <w:pStyle w:val="Heading1"/>
        <w:spacing w:before="320" w:after="140"/>
        <w:jc w:val="right"/>
        <w:keepNext/>
        <w:bidi w:val="1"/>
      </w:pPr>
      <w:r>
        <w:rPr>
          <w:rFonts w:ascii="Arial" w:hAnsi="Arial" w:cs="Arial"/>
          <w:b/>
          <w:color w:val="171713"/>
          <w:rtl w:val="1"/>
        </w:rPr>
        <w:t>الخلاصة</w:t>
      </w:r>
    </w:p>
    <w:p>
      <w:pPr>
        <w:spacing w:before="0" w:after="140" w:line="300" w:lineRule="auto"/>
        <w:jc w:val="right"/>
        <w:bidi w:val="1"/>
      </w:pPr>
      <w:r>
        <w:rPr>
          <w:rFonts w:ascii="Arial" w:hAnsi="Arial" w:cs="Arial"/>
          <w:b w:val="0"/>
          <w:color w:val="171713"/>
          <w:rtl w:val="1"/>
        </w:rPr>
        <w:t>أقترح تنفيذ نسخة إطلاق أولى محددة النطاق من الموقع بسعر ثابت قدره 5,500 ريال سعودي. السعر مبني على الانطلاق من التصميم والأصول الحالية، ثم تحويلها إلى موقع إنتاجي سريع ومتجاوب وقابل للصيانة، وليس إعادة بناء الهوية أو التصميم من الصفر.</w:t>
      </w:r>
    </w:p>
    <w:p>
      <w:pPr>
        <w:spacing w:before="0" w:after="0" w:line="300" w:lineRule="auto"/>
        <w:jc w:val="right"/>
        <w:bidi w:val="1"/>
      </w:pPr>
      <w:r>
        <w:rPr>
          <w:rFonts w:ascii="Arial" w:hAnsi="Arial" w:cs="Arial"/>
          <w:b w:val="0"/>
          <w:color w:val="171713"/>
          <w:rtl w:val="1"/>
        </w:rPr>
        <w:t>يشمل العرض شهر دعم كامل مجانًا بعد التسليم لجميع الإصلاحات والتعديلات اللازمة داخل النطاق المتفق عليه. تبدأ مدة التنفيذ بعد استلام المحتوى والموافقات وصلاحيات الحسابات المطلوبة.</w:t>
      </w:r>
    </w:p>
    <w:p>
      <w:r>
        <w:br w:type="page"/>
      </w:r>
    </w:p>
    <w:p>
      <w:pPr>
        <w:pStyle w:val="Heading1"/>
        <w:spacing w:before="320" w:after="140"/>
        <w:jc w:val="right"/>
        <w:keepNext/>
        <w:bidi w:val="1"/>
      </w:pPr>
      <w:r>
        <w:rPr>
          <w:rFonts w:ascii="Arial" w:hAnsi="Arial" w:cs="Arial"/>
          <w:b/>
          <w:color w:val="171713"/>
          <w:rtl w:val="1"/>
        </w:rPr>
        <w:t>نطاق العمل المشمول</w:t>
      </w:r>
    </w:p>
    <w:p>
      <w:pPr>
        <w:spacing w:before="0" w:after="140" w:line="300" w:lineRule="auto"/>
        <w:jc w:val="right"/>
        <w:bidi w:val="1"/>
      </w:pPr>
      <w:r>
        <w:rPr>
          <w:rFonts w:ascii="Arial" w:hAnsi="Arial" w:cs="Arial"/>
          <w:b w:val="0"/>
          <w:color w:val="171713"/>
          <w:rtl w:val="1"/>
        </w:rPr>
        <w:t>الهدف هو إطلاق النسخة الأولى V1 من البيت الرقمي لأنس باللغة العربية واتجاه RTL، بجودة مناسبة للنشر العام على الجوال والكمبيوتر.</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تحويل النموذج الحالي إلى مشروع Astro منظم وقابل للتطوير، بدل الاعتماد على ملفات التصدير التجريبية.</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تنفيذ الصفحة الرئيسية وصفحات بدأت هنا، بُنيت هنا، مرّت من هنا، كُتبت هنا، ما زال على الرف، المَشَاهِد، وتواصل.</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تطوير استجابة حقيقية للجوال واللوحي وسطح المكتب، مع اختبار أحجام 360 و768 و1024 و1440 بكسل ومنع التمرير الأفقي.</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تنفيذ صفحة خوص باستخدام الأصول المعتمدة: غلاف الكتاب، الصور، الشخصيات، مقتطفات القراءة، عارض صفحات RTL، الإصدارات، ونموذج أبلغني عند التوفر.</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تنفيذ معرض الصور مع عرض مكبر متوافق مع لوحة المفاتيح واتجاه RTL، وربط بياناته بطريقة خفيفة وسريعة.</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تنفيذ نماذج التواصل والتنبيه مع التحقق والحماية من الرسائل المزعجة وحفظ الطلبات وإشعار أنس بالبريد.</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تحسين الصور والخطوط والتحميل، وإضافة SEO العربي، بطاقات المشاركة، خريطة الموقع، والتحليلات الأساسية.</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اختبار الأداء وإمكانية الوصول والحركة المخفّضة، وإصلاح العيوب قبل الإطلاق.</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إعداد النشر على Cloudflare وربط النطاق والبيئة الإنتاجية وتسليم الحسابات والوثائق الأساسية.</w:t>
      </w:r>
    </w:p>
    <w:p>
      <w:pPr>
        <w:pStyle w:val="Heading2"/>
        <w:spacing w:before="200" w:after="140"/>
        <w:jc w:val="right"/>
        <w:keepNext/>
        <w:bidi w:val="1"/>
      </w:pPr>
      <w:r>
        <w:rPr>
          <w:rFonts w:ascii="Arial" w:hAnsi="Arial" w:cs="Arial"/>
          <w:b/>
          <w:color w:val="171713"/>
          <w:rtl w:val="1"/>
        </w:rPr>
        <w:t>معيار التسليم</w:t>
      </w:r>
    </w:p>
    <w:p>
      <w:pPr>
        <w:spacing w:before="0" w:after="0" w:line="300" w:lineRule="auto"/>
        <w:jc w:val="right"/>
        <w:bidi w:val="1"/>
      </w:pPr>
      <w:r>
        <w:rPr>
          <w:rFonts w:ascii="Arial" w:hAnsi="Arial" w:cs="Arial"/>
          <w:b w:val="0"/>
          <w:color w:val="171713"/>
          <w:rtl w:val="1"/>
        </w:rPr>
        <w:t>يعد العمل جاهزًا للتسليم عندما تعمل الصفحات والنماذج والروابط الأساسية على البيئة الإنتاجية، وتظهر بصورة سليمة على المقاسات المتفق عليها، ولا توجد أخطاء تمنع الاستخدام، وتكون البيانات والحسابات تحت ملكية أنس.</w:t>
      </w:r>
    </w:p>
    <w:p>
      <w:r>
        <w:br w:type="page"/>
      </w:r>
    </w:p>
    <w:p>
      <w:pPr>
        <w:pStyle w:val="Heading1"/>
        <w:spacing w:before="320" w:after="140"/>
        <w:jc w:val="right"/>
        <w:keepNext/>
        <w:bidi w:val="1"/>
      </w:pPr>
      <w:r>
        <w:rPr>
          <w:rFonts w:ascii="Arial" w:hAnsi="Arial" w:cs="Arial"/>
          <w:b/>
          <w:color w:val="171713"/>
          <w:rtl w:val="1"/>
        </w:rPr>
        <w:t>المنظومة التقنية المقترحة</w:t>
      </w:r>
    </w:p>
    <w:p>
      <w:pPr>
        <w:spacing w:before="0" w:after="140" w:line="300" w:lineRule="auto"/>
        <w:jc w:val="right"/>
        <w:bidi w:val="1"/>
      </w:pPr>
      <w:r>
        <w:rPr>
          <w:rFonts w:ascii="Arial" w:hAnsi="Arial" w:cs="Arial"/>
          <w:b w:val="0"/>
          <w:color w:val="171713"/>
          <w:rtl w:val="1"/>
        </w:rPr>
        <w:t>اختيرت المنظومة لتناسب موقعًا عربيًا غنيًا بالمحتوى وقليل التكلفة التشغيلية، مع تحميل سريع وأقل قدر ممكن من JavaScript.</w:t>
      </w:r>
    </w:p>
    <w:tbl>
      <w:tblPr>
        <w:tblW w:type="auto" w:w="0"/>
        <w:jc w:val="center"/>
        <w:tblLayout w:type="fixed"/>
        <w:tblLook w:firstColumn="1" w:firstRow="1" w:lastColumn="0" w:lastRow="0" w:noHBand="0" w:noVBand="1" w:val="04A0"/>
        <w:bidiVisual w:val="1"/>
      </w:tblPr>
      <w:tblGrid>
        <w:gridCol w:w="4997"/>
        <w:gridCol w:w="4997"/>
      </w:tblGrid>
      <w:tr>
        <w:trPr>
          <w:tblHeader w:val="true"/>
        </w:trPr>
        <w:tc>
          <w:tcPr>
            <w:tcW w:type="dxa" w:w="2232"/>
            <w:vAlign w:val="center"/>
            <w:shd w:fill="234A30"/>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jc w:val="center"/>
              <w:bidi w:val="1"/>
            </w:pPr>
            <w:r>
              <w:rPr>
                <w:rFonts w:ascii="Arial" w:hAnsi="Arial" w:cs="Arial"/>
                <w:b/>
                <w:color w:val="FFFFFF"/>
                <w:rtl w:val="1"/>
              </w:rPr>
              <w:t>الجزء</w:t>
            </w:r>
          </w:p>
        </w:tc>
        <w:tc>
          <w:tcPr>
            <w:tcW w:type="dxa" w:w="7056"/>
            <w:vAlign w:val="center"/>
            <w:shd w:fill="234A30"/>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jc w:val="right"/>
              <w:bidi w:val="1"/>
            </w:pPr>
            <w:r>
              <w:rPr>
                <w:rFonts w:ascii="Arial" w:hAnsi="Arial" w:cs="Arial"/>
                <w:b/>
                <w:color w:val="FFFFFF"/>
                <w:rtl w:val="1"/>
              </w:rPr>
              <w:t>التقنية</w:t>
            </w:r>
          </w:p>
        </w:tc>
      </w:tr>
      <w:tr>
        <w:tc>
          <w:tcPr>
            <w:tcW w:type="dxa" w:w="2232"/>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1"/>
                <w:rtl w:val="1"/>
              </w:rPr>
              <w:t>الواجهة</w:t>
            </w:r>
          </w:p>
        </w:tc>
        <w:tc>
          <w:tcPr>
            <w:tcW w:type="dxa" w:w="7056"/>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1"/>
                <w:rtl w:val="1"/>
              </w:rPr>
              <w:t>Astro مع TypeScript وCSS عربي RTL، وجزر تفاعلية فقط عند الحاجة</w:t>
            </w:r>
          </w:p>
        </w:tc>
      </w:tr>
      <w:tr>
        <w:tc>
          <w:tcPr>
            <w:tcW w:type="dxa" w:w="2232"/>
            <w:vAlign w:val="center"/>
            <w:shd w:fill="F3F0E8"/>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1"/>
                <w:rtl w:val="1"/>
              </w:rPr>
              <w:t>الاستضافة</w:t>
            </w:r>
          </w:p>
        </w:tc>
        <w:tc>
          <w:tcPr>
            <w:tcW w:type="dxa" w:w="7056"/>
            <w:vAlign w:val="center"/>
            <w:shd w:fill="F3F0E8"/>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1"/>
                <w:rtl w:val="1"/>
              </w:rPr>
              <w:t>Cloudflare Pages مع Pages Functions لنماذج التواصل والتنبيه</w:t>
            </w:r>
          </w:p>
        </w:tc>
      </w:tr>
      <w:tr>
        <w:tc>
          <w:tcPr>
            <w:tcW w:type="dxa" w:w="2232"/>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1"/>
                <w:rtl w:val="1"/>
              </w:rPr>
              <w:t>قاعدة البيانات</w:t>
            </w:r>
          </w:p>
        </w:tc>
        <w:tc>
          <w:tcPr>
            <w:tcW w:type="dxa" w:w="7056"/>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1"/>
                <w:rtl w:val="1"/>
              </w:rPr>
              <w:t>Supabase Postgres مع Row Level Security وجدولة نبضة دورية للحساب المجاني</w:t>
            </w:r>
          </w:p>
        </w:tc>
      </w:tr>
      <w:tr>
        <w:tc>
          <w:tcPr>
            <w:tcW w:type="dxa" w:w="2232"/>
            <w:vAlign w:val="center"/>
            <w:shd w:fill="F3F0E8"/>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1"/>
                <w:rtl w:val="1"/>
              </w:rPr>
              <w:t>الصور والملفات</w:t>
            </w:r>
          </w:p>
        </w:tc>
        <w:tc>
          <w:tcPr>
            <w:tcW w:type="dxa" w:w="7056"/>
            <w:vAlign w:val="center"/>
            <w:shd w:fill="F3F0E8"/>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1"/>
                <w:rtl w:val="1"/>
              </w:rPr>
              <w:t>Cloudflare R2 مع AVIF وWebP وأحجام متجاوبة</w:t>
            </w:r>
          </w:p>
        </w:tc>
      </w:tr>
      <w:tr>
        <w:tc>
          <w:tcPr>
            <w:tcW w:type="dxa" w:w="2232"/>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1"/>
                <w:rtl w:val="1"/>
              </w:rPr>
              <w:t>الحماية</w:t>
            </w:r>
          </w:p>
        </w:tc>
        <w:tc>
          <w:tcPr>
            <w:tcW w:type="dxa" w:w="7056"/>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1"/>
                <w:rtl w:val="1"/>
              </w:rPr>
              <w:t>Cloudflare Turnstile وحقل honeypot وتحقق خادمي للمدخلات</w:t>
            </w:r>
          </w:p>
        </w:tc>
      </w:tr>
      <w:tr>
        <w:tc>
          <w:tcPr>
            <w:tcW w:type="dxa" w:w="2232"/>
            <w:vAlign w:val="center"/>
            <w:shd w:fill="F3F0E8"/>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1"/>
                <w:rtl w:val="1"/>
              </w:rPr>
              <w:t>البريد</w:t>
            </w:r>
          </w:p>
        </w:tc>
        <w:tc>
          <w:tcPr>
            <w:tcW w:type="dxa" w:w="7056"/>
            <w:vAlign w:val="center"/>
            <w:shd w:fill="F3F0E8"/>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1"/>
                <w:rtl w:val="1"/>
              </w:rPr>
              <w:t>Resend لإشعارات التواصل والتنبيه عند توفر الكتاب</w:t>
            </w:r>
          </w:p>
        </w:tc>
      </w:tr>
      <w:tr>
        <w:tc>
          <w:tcPr>
            <w:tcW w:type="dxa" w:w="2232"/>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1"/>
                <w:rtl w:val="1"/>
              </w:rPr>
              <w:t>التحليلات</w:t>
            </w:r>
          </w:p>
        </w:tc>
        <w:tc>
          <w:tcPr>
            <w:tcW w:type="dxa" w:w="7056"/>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1"/>
                <w:rtl w:val="1"/>
              </w:rPr>
              <w:t>Cloudflare Web Analytics من دون ملفات تعريف ارتباط</w:t>
            </w:r>
          </w:p>
        </w:tc>
      </w:tr>
      <w:tr>
        <w:tc>
          <w:tcPr>
            <w:tcW w:type="dxa" w:w="2232"/>
            <w:vAlign w:val="center"/>
            <w:shd w:fill="F3F0E8"/>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1"/>
                <w:rtl w:val="1"/>
              </w:rPr>
              <w:t>الاختبارات</w:t>
            </w:r>
          </w:p>
        </w:tc>
        <w:tc>
          <w:tcPr>
            <w:tcW w:type="dxa" w:w="7056"/>
            <w:vAlign w:val="center"/>
            <w:shd w:fill="F3F0E8"/>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1"/>
                <w:rtl w:val="1"/>
              </w:rPr>
              <w:t>Playwright واختبارات بناء وميزانية Lighthouse عبر GitHub Actions</w:t>
            </w:r>
          </w:p>
        </w:tc>
      </w:tr>
      <w:tr>
        <w:tc>
          <w:tcPr>
            <w:tcW w:type="dxa" w:w="2232"/>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1"/>
                <w:rtl w:val="1"/>
              </w:rPr>
              <w:t>النشر والتسليم</w:t>
            </w:r>
          </w:p>
        </w:tc>
        <w:tc>
          <w:tcPr>
            <w:tcW w:type="dxa" w:w="7056"/>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1"/>
                <w:rtl w:val="1"/>
              </w:rPr>
              <w:t>GitHub كمستودع مصدر مع معاينات تلقائية قبل الإطلاق</w:t>
            </w:r>
          </w:p>
        </w:tc>
      </w:tr>
    </w:tbl>
    <w:p>
      <w:pPr>
        <w:spacing w:after="0"/>
      </w:pPr>
    </w:p>
    <w:p>
      <w:pPr>
        <w:pStyle w:val="Heading2"/>
        <w:spacing w:before="200" w:after="140"/>
        <w:jc w:val="right"/>
        <w:keepNext/>
        <w:bidi w:val="1"/>
      </w:pPr>
      <w:r>
        <w:rPr>
          <w:rFonts w:ascii="Arial" w:hAnsi="Arial" w:cs="Arial"/>
          <w:b/>
          <w:color w:val="171713"/>
          <w:rtl w:val="1"/>
        </w:rPr>
        <w:t>تكلفة التشغيل المتوقعة</w:t>
      </w:r>
    </w:p>
    <w:p>
      <w:pPr>
        <w:spacing w:before="0" w:after="140" w:line="300" w:lineRule="auto"/>
        <w:jc w:val="right"/>
        <w:bidi w:val="1"/>
      </w:pPr>
      <w:r>
        <w:rPr>
          <w:rFonts w:ascii="Arial" w:hAnsi="Arial" w:cs="Arial"/>
          <w:b w:val="0"/>
          <w:color w:val="171713"/>
          <w:rtl w:val="1"/>
        </w:rPr>
        <w:t>يمكن أن يبدأ الموقع على الطبقات المجانية لخدمات Cloudflare وSupabase وResend. قد تظهر تكلفة شهرية لاحقًا عند نمو الزيارات أو البيانات، أو عند اختيار Supabase Pro. رسوم النطاق والخدمات المدفوعة ورسوم بوابة الدفع مستقبلًا تكون على حساب أنس وتبقى الحسابات باسمه.</w:t>
      </w:r>
    </w:p>
    <w:p>
      <w:pPr>
        <w:spacing w:before="0" w:after="0" w:line="300" w:lineRule="auto"/>
        <w:jc w:val="right"/>
        <w:bidi w:val="1"/>
      </w:pPr>
      <w:r>
        <w:rPr>
          <w:rFonts w:ascii="Arial" w:hAnsi="Arial" w:cs="Arial"/>
          <w:b w:val="0"/>
          <w:color w:val="171713"/>
          <w:rtl w:val="1"/>
        </w:rPr>
        <w:t>اشتراكات أدوات العمل والذكاء الاصطناعي اللازمة أثناء التنفيذ، مثل Codex بنماذج Astra وSol وClaude Opus وFable، مشمولة في سعر المشروع ولا تُفوتر على أنس كاشتراك متكرر.</w:t>
      </w:r>
    </w:p>
    <w:p>
      <w:r>
        <w:br w:type="page"/>
      </w:r>
    </w:p>
    <w:p>
      <w:pPr>
        <w:pStyle w:val="Heading1"/>
        <w:spacing w:before="320" w:after="140"/>
        <w:jc w:val="right"/>
        <w:keepNext/>
        <w:bidi w:val="1"/>
      </w:pPr>
      <w:r>
        <w:rPr>
          <w:rFonts w:ascii="Arial" w:hAnsi="Arial" w:cs="Arial"/>
          <w:b/>
          <w:color w:val="171713"/>
          <w:rtl w:val="1"/>
        </w:rPr>
        <w:t>المدة وخطة التنفيذ</w:t>
      </w:r>
    </w:p>
    <w:tbl>
      <w:tblPr>
        <w:tblW w:type="auto" w:w="0"/>
        <w:jc w:val="center"/>
        <w:tblLayout w:type="fixed"/>
        <w:tblLook w:firstColumn="1" w:firstRow="1" w:lastColumn="0" w:lastRow="0" w:noHBand="0" w:noVBand="1" w:val="04A0"/>
        <w:bidiVisual w:val="1"/>
      </w:tblPr>
      <w:tblGrid>
        <w:gridCol w:w="2498"/>
        <w:gridCol w:w="2498"/>
        <w:gridCol w:w="2498"/>
        <w:gridCol w:w="2498"/>
      </w:tblGrid>
      <w:tr>
        <w:trPr>
          <w:tblHeader w:val="true"/>
        </w:trPr>
        <w:tc>
          <w:tcPr>
            <w:tcW w:type="dxa" w:w="936"/>
            <w:vAlign w:val="center"/>
            <w:shd w:fill="234A30"/>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jc w:val="center"/>
              <w:bidi w:val="1"/>
            </w:pPr>
            <w:r>
              <w:rPr>
                <w:rFonts w:ascii="Arial" w:hAnsi="Arial" w:cs="Arial"/>
                <w:b/>
                <w:color w:val="FFFFFF"/>
                <w:rtl w:val="1"/>
              </w:rPr>
              <w:t>المرحلة</w:t>
            </w:r>
          </w:p>
        </w:tc>
        <w:tc>
          <w:tcPr>
            <w:tcW w:type="dxa" w:w="1944"/>
            <w:vAlign w:val="center"/>
            <w:shd w:fill="234A30"/>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jc w:val="right"/>
              <w:bidi w:val="1"/>
            </w:pPr>
            <w:r>
              <w:rPr>
                <w:rFonts w:ascii="Arial" w:hAnsi="Arial" w:cs="Arial"/>
                <w:b/>
                <w:color w:val="FFFFFF"/>
                <w:rtl w:val="1"/>
              </w:rPr>
              <w:t>العنوان</w:t>
            </w:r>
          </w:p>
        </w:tc>
        <w:tc>
          <w:tcPr>
            <w:tcW w:type="dxa" w:w="5256"/>
            <w:vAlign w:val="center"/>
            <w:shd w:fill="234A30"/>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jc w:val="right"/>
              <w:bidi w:val="1"/>
            </w:pPr>
            <w:r>
              <w:rPr>
                <w:rFonts w:ascii="Arial" w:hAnsi="Arial" w:cs="Arial"/>
                <w:b/>
                <w:color w:val="FFFFFF"/>
                <w:rtl w:val="1"/>
              </w:rPr>
              <w:t>المخرجات</w:t>
            </w:r>
          </w:p>
        </w:tc>
        <w:tc>
          <w:tcPr>
            <w:tcW w:type="dxa" w:w="1512"/>
            <w:vAlign w:val="center"/>
            <w:shd w:fill="234A30"/>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jc w:val="right"/>
              <w:bidi w:val="1"/>
            </w:pPr>
            <w:r>
              <w:rPr>
                <w:rFonts w:ascii="Arial" w:hAnsi="Arial" w:cs="Arial"/>
                <w:b/>
                <w:color w:val="FFFFFF"/>
                <w:rtl w:val="1"/>
              </w:rPr>
              <w:t>المدة</w:t>
            </w:r>
          </w:p>
        </w:tc>
      </w:tr>
      <w:tr>
        <w:tc>
          <w:tcPr>
            <w:tcW w:type="dxa" w:w="936"/>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1"/>
                <w:rtl w:val="1"/>
              </w:rPr>
              <w:t>1</w:t>
            </w:r>
          </w:p>
        </w:tc>
        <w:tc>
          <w:tcPr>
            <w:tcW w:type="dxa" w:w="1944"/>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1"/>
                <w:rtl w:val="1"/>
              </w:rPr>
              <w:t>تثبيت المحتوى</w:t>
            </w:r>
          </w:p>
        </w:tc>
        <w:tc>
          <w:tcPr>
            <w:tcW w:type="dxa" w:w="5256"/>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1"/>
                <w:rtl w:val="1"/>
              </w:rPr>
              <w:t>استلام الملفات والموافقات، تثبيت النطاق، إعداد المشروع والحسابات</w:t>
            </w:r>
          </w:p>
        </w:tc>
        <w:tc>
          <w:tcPr>
            <w:tcW w:type="dxa" w:w="1512"/>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1"/>
                <w:rtl w:val="1"/>
              </w:rPr>
              <w:t>3 إلى 4 أيام</w:t>
            </w:r>
          </w:p>
        </w:tc>
      </w:tr>
      <w:tr>
        <w:tc>
          <w:tcPr>
            <w:tcW w:type="dxa" w:w="936"/>
            <w:vAlign w:val="center"/>
            <w:shd w:fill="F3F0E8"/>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1"/>
                <w:rtl w:val="1"/>
              </w:rPr>
              <w:t>2</w:t>
            </w:r>
          </w:p>
        </w:tc>
        <w:tc>
          <w:tcPr>
            <w:tcW w:type="dxa" w:w="1944"/>
            <w:vAlign w:val="center"/>
            <w:shd w:fill="F3F0E8"/>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1"/>
                <w:rtl w:val="1"/>
              </w:rPr>
              <w:t>البناء الأساسي</w:t>
            </w:r>
          </w:p>
        </w:tc>
        <w:tc>
          <w:tcPr>
            <w:tcW w:type="dxa" w:w="5256"/>
            <w:vAlign w:val="center"/>
            <w:shd w:fill="F3F0E8"/>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1"/>
                <w:rtl w:val="1"/>
              </w:rPr>
              <w:t>الهيكل العام والصفحة الرئيسية والغرف والاستجابة للجوال</w:t>
            </w:r>
          </w:p>
        </w:tc>
        <w:tc>
          <w:tcPr>
            <w:tcW w:type="dxa" w:w="1512"/>
            <w:vAlign w:val="center"/>
            <w:shd w:fill="F3F0E8"/>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1"/>
                <w:rtl w:val="1"/>
              </w:rPr>
              <w:t>6 إلى 8 أيام</w:t>
            </w:r>
          </w:p>
        </w:tc>
      </w:tr>
      <w:tr>
        <w:tc>
          <w:tcPr>
            <w:tcW w:type="dxa" w:w="936"/>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1"/>
                <w:rtl w:val="1"/>
              </w:rPr>
              <w:t>3</w:t>
            </w:r>
          </w:p>
        </w:tc>
        <w:tc>
          <w:tcPr>
            <w:tcW w:type="dxa" w:w="1944"/>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1"/>
                <w:rtl w:val="1"/>
              </w:rPr>
              <w:t>الكتاب والبيانات</w:t>
            </w:r>
          </w:p>
        </w:tc>
        <w:tc>
          <w:tcPr>
            <w:tcW w:type="dxa" w:w="5256"/>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1"/>
                <w:rtl w:val="1"/>
              </w:rPr>
              <w:t>صفحة خوص والمعرض والنماذج وقاعدة البيانات والحماية</w:t>
            </w:r>
          </w:p>
        </w:tc>
        <w:tc>
          <w:tcPr>
            <w:tcW w:type="dxa" w:w="1512"/>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1"/>
                <w:rtl w:val="1"/>
              </w:rPr>
              <w:t>6 إلى 8 أيام</w:t>
            </w:r>
          </w:p>
        </w:tc>
      </w:tr>
      <w:tr>
        <w:tc>
          <w:tcPr>
            <w:tcW w:type="dxa" w:w="936"/>
            <w:vAlign w:val="center"/>
            <w:shd w:fill="F3F0E8"/>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1"/>
                <w:rtl w:val="1"/>
              </w:rPr>
              <w:t>4</w:t>
            </w:r>
          </w:p>
        </w:tc>
        <w:tc>
          <w:tcPr>
            <w:tcW w:type="dxa" w:w="1944"/>
            <w:vAlign w:val="center"/>
            <w:shd w:fill="F3F0E8"/>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1"/>
                <w:rtl w:val="1"/>
              </w:rPr>
              <w:t>الجودة والإطلاق</w:t>
            </w:r>
          </w:p>
        </w:tc>
        <w:tc>
          <w:tcPr>
            <w:tcW w:type="dxa" w:w="5256"/>
            <w:vAlign w:val="center"/>
            <w:shd w:fill="F3F0E8"/>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1"/>
                <w:rtl w:val="1"/>
              </w:rPr>
              <w:t>الأداء وإمكانية الوصول والاختبارات ومراجعة أنس والنشر</w:t>
            </w:r>
          </w:p>
        </w:tc>
        <w:tc>
          <w:tcPr>
            <w:tcW w:type="dxa" w:w="1512"/>
            <w:vAlign w:val="center"/>
            <w:shd w:fill="F3F0E8"/>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1"/>
                <w:rtl w:val="1"/>
              </w:rPr>
              <w:t>5 أيام</w:t>
            </w:r>
          </w:p>
        </w:tc>
      </w:tr>
    </w:tbl>
    <w:p>
      <w:pPr>
        <w:spacing w:after="0"/>
      </w:pPr>
    </w:p>
    <w:p>
      <w:pPr>
        <w:spacing w:before="0" w:after="0" w:line="300" w:lineRule="auto"/>
        <w:jc w:val="right"/>
        <w:bidi w:val="1"/>
      </w:pPr>
      <w:r>
        <w:rPr>
          <w:rFonts w:ascii="Arial" w:hAnsi="Arial" w:cs="Arial"/>
          <w:b/>
          <w:color w:val="171713"/>
          <w:rtl w:val="1"/>
        </w:rPr>
        <w:t>المدة الإجمالية الواقعية: 20 إلى 25 يوم عمل من تاريخ اكتمال المتطلبات. يتوقف عداد التنفيذ عند تأخر المحتوى أو الموافقات أو صلاحيات الحسابات، ثم يستأنف عند استلامها.</w:t>
      </w:r>
    </w:p>
    <w:p>
      <w:pPr>
        <w:pStyle w:val="Heading1"/>
        <w:spacing w:before="320" w:after="140"/>
        <w:jc w:val="right"/>
        <w:keepNext/>
        <w:bidi w:val="1"/>
      </w:pPr>
      <w:r>
        <w:rPr>
          <w:rFonts w:ascii="Arial" w:hAnsi="Arial" w:cs="Arial"/>
          <w:b/>
          <w:color w:val="171713"/>
          <w:rtl w:val="1"/>
        </w:rPr>
        <w:t>قيمة العرض وآلية الدفع</w:t>
      </w:r>
    </w:p>
    <w:tbl>
      <w:tblPr>
        <w:tblW w:type="auto" w:w="0"/>
        <w:jc w:val="center"/>
        <w:tblLayout w:type="fixed"/>
        <w:tblLook w:firstColumn="1" w:firstRow="1" w:lastColumn="0" w:lastRow="0" w:noHBand="0" w:noVBand="1" w:val="04A0"/>
        <w:bidiVisual w:val="1"/>
      </w:tblPr>
      <w:tblGrid>
        <w:gridCol w:w="3331"/>
        <w:gridCol w:w="3331"/>
        <w:gridCol w:w="3331"/>
      </w:tblGrid>
      <w:tr>
        <w:trPr>
          <w:tblHeader w:val="true"/>
        </w:trPr>
        <w:tc>
          <w:tcPr>
            <w:tcW w:type="dxa" w:w="1800"/>
            <w:vAlign w:val="center"/>
            <w:shd w:fill="234A30"/>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jc w:val="center"/>
              <w:bidi w:val="1"/>
            </w:pPr>
            <w:r>
              <w:rPr>
                <w:rFonts w:ascii="Arial" w:hAnsi="Arial" w:cs="Arial"/>
                <w:b/>
                <w:color w:val="FFFFFF"/>
                <w:rtl w:val="1"/>
              </w:rPr>
              <w:t>الدفعة</w:t>
            </w:r>
          </w:p>
        </w:tc>
        <w:tc>
          <w:tcPr>
            <w:tcW w:type="dxa" w:w="2088"/>
            <w:vAlign w:val="center"/>
            <w:shd w:fill="234A30"/>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jc w:val="right"/>
              <w:bidi w:val="1"/>
            </w:pPr>
            <w:r>
              <w:rPr>
                <w:rFonts w:ascii="Arial" w:hAnsi="Arial" w:cs="Arial"/>
                <w:b/>
                <w:color w:val="FFFFFF"/>
                <w:rtl w:val="1"/>
              </w:rPr>
              <w:t>القيمة</w:t>
            </w:r>
          </w:p>
        </w:tc>
        <w:tc>
          <w:tcPr>
            <w:tcW w:type="dxa" w:w="5760"/>
            <w:vAlign w:val="center"/>
            <w:shd w:fill="234A30"/>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jc w:val="right"/>
              <w:bidi w:val="1"/>
            </w:pPr>
            <w:r>
              <w:rPr>
                <w:rFonts w:ascii="Arial" w:hAnsi="Arial" w:cs="Arial"/>
                <w:b/>
                <w:color w:val="FFFFFF"/>
                <w:rtl w:val="1"/>
              </w:rPr>
              <w:t>موعدها</w:t>
            </w:r>
          </w:p>
        </w:tc>
      </w:tr>
      <w:tr>
        <w:tc>
          <w:tcPr>
            <w:tcW w:type="dxa" w:w="1800"/>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1"/>
                <w:rtl w:val="1"/>
              </w:rPr>
              <w:t>40 بالمئة</w:t>
            </w:r>
          </w:p>
        </w:tc>
        <w:tc>
          <w:tcPr>
            <w:tcW w:type="dxa" w:w="2088"/>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1"/>
                <w:rtl w:val="1"/>
              </w:rPr>
              <w:t>2,200 ريال</w:t>
            </w:r>
          </w:p>
        </w:tc>
        <w:tc>
          <w:tcPr>
            <w:tcW w:type="dxa" w:w="5760"/>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1"/>
                <w:rtl w:val="1"/>
              </w:rPr>
              <w:t>عند اعتماد العرض وبدء العمل</w:t>
            </w:r>
          </w:p>
        </w:tc>
      </w:tr>
      <w:tr>
        <w:tc>
          <w:tcPr>
            <w:tcW w:type="dxa" w:w="1800"/>
            <w:vAlign w:val="center"/>
            <w:shd w:fill="F3F0E8"/>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1"/>
                <w:rtl w:val="1"/>
              </w:rPr>
              <w:t>30 بالمئة</w:t>
            </w:r>
          </w:p>
        </w:tc>
        <w:tc>
          <w:tcPr>
            <w:tcW w:type="dxa" w:w="2088"/>
            <w:vAlign w:val="center"/>
            <w:shd w:fill="F3F0E8"/>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1"/>
                <w:rtl w:val="1"/>
              </w:rPr>
              <w:t>1,650 ريال</w:t>
            </w:r>
          </w:p>
        </w:tc>
        <w:tc>
          <w:tcPr>
            <w:tcW w:type="dxa" w:w="5760"/>
            <w:vAlign w:val="center"/>
            <w:shd w:fill="F3F0E8"/>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1"/>
                <w:rtl w:val="1"/>
              </w:rPr>
              <w:t>بعد عرض النسخة التجريبية المكتملة</w:t>
            </w:r>
          </w:p>
        </w:tc>
      </w:tr>
      <w:tr>
        <w:tc>
          <w:tcPr>
            <w:tcW w:type="dxa" w:w="1800"/>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center"/>
              <w:bidi w:val="1"/>
            </w:pPr>
            <w:r>
              <w:rPr>
                <w:rFonts w:ascii="Arial" w:hAnsi="Arial" w:cs="Arial"/>
                <w:color w:val="171713"/>
                <w:sz w:val="21"/>
                <w:rtl w:val="1"/>
              </w:rPr>
              <w:t>30 بالمئة</w:t>
            </w:r>
          </w:p>
        </w:tc>
        <w:tc>
          <w:tcPr>
            <w:tcW w:type="dxa" w:w="2088"/>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1"/>
                <w:rtl w:val="1"/>
              </w:rPr>
              <w:t>1,650 ريال</w:t>
            </w:r>
          </w:p>
        </w:tc>
        <w:tc>
          <w:tcPr>
            <w:tcW w:type="dxa" w:w="5760"/>
            <w:vAlign w:val="center"/>
            <w:shd w:fill="FFFFFF"/>
            <w:tcBorders>
              <w:top w:val="single" w:sz="6" w:color="D9D9D2"/>
              <w:left w:val="single" w:sz="6" w:color="D9D9D2"/>
              <w:bottom w:val="single" w:sz="6" w:color="D9D9D2"/>
              <w:right w:val="single" w:sz="6" w:color="D9D9D2"/>
              <w:insideH w:val="single" w:sz="6" w:color="D9D9D2"/>
              <w:insideV w:val="single" w:sz="6" w:color="D9D9D2"/>
            </w:tcBorders>
            <w:tcMar>
              <w:top w:w="120" w:type="dxa"/>
              <w:start w:w="160" w:type="dxa"/>
              <w:bottom w:w="120" w:type="dxa"/>
              <w:end w:w="160" w:type="dxa"/>
            </w:tcMar>
          </w:tcPr>
          <w:p>
            <w:pPr>
              <w:spacing w:after="0" w:line="276" w:lineRule="auto"/>
              <w:jc w:val="right"/>
              <w:bidi w:val="1"/>
            </w:pPr>
            <w:r>
              <w:rPr>
                <w:rFonts w:ascii="Arial" w:hAnsi="Arial" w:cs="Arial"/>
                <w:color w:val="171713"/>
                <w:sz w:val="21"/>
                <w:rtl w:val="1"/>
              </w:rPr>
              <w:t>عند الإطلاق على النطاق النهائي</w:t>
            </w:r>
          </w:p>
        </w:tc>
      </w:tr>
    </w:tbl>
    <w:p>
      <w:pPr>
        <w:spacing w:after="0"/>
      </w:pPr>
    </w:p>
    <w:p>
      <w:pPr>
        <w:spacing w:before="0" w:after="0" w:line="300" w:lineRule="auto"/>
        <w:jc w:val="right"/>
        <w:bidi w:val="1"/>
      </w:pPr>
      <w:r>
        <w:rPr>
          <w:rFonts w:ascii="Arial" w:hAnsi="Arial" w:cs="Arial"/>
          <w:b w:val="0"/>
          <w:color w:val="171713"/>
          <w:rtl w:val="1"/>
        </w:rPr>
        <w:t>السعر ثابت للنطاق المذكور في هذا العرض. أي ميزة جديدة أو تغيير جوهري بعد اعتماد النطاق يقدّر ويعتمد كتابيًا قبل تنفيذه. ضريبة القيمة المضافة، إن انطبقت، تظهر في الفاتورة بصورة مستقلة.</w:t>
      </w:r>
    </w:p>
    <w:p>
      <w:r>
        <w:br w:type="page"/>
      </w:r>
    </w:p>
    <w:p>
      <w:pPr>
        <w:pStyle w:val="Heading1"/>
        <w:spacing w:before="320" w:after="140"/>
        <w:jc w:val="right"/>
        <w:keepNext/>
        <w:bidi w:val="1"/>
      </w:pPr>
      <w:r>
        <w:rPr>
          <w:rFonts w:ascii="Arial" w:hAnsi="Arial" w:cs="Arial"/>
          <w:b/>
          <w:color w:val="171713"/>
          <w:rtl w:val="1"/>
        </w:rPr>
        <w:t>شهر الدعم المجاني</w:t>
      </w:r>
    </w:p>
    <w:p>
      <w:pPr>
        <w:spacing w:before="0" w:after="140" w:line="300" w:lineRule="auto"/>
        <w:jc w:val="right"/>
        <w:bidi w:val="1"/>
      </w:pPr>
      <w:r>
        <w:rPr>
          <w:rFonts w:ascii="Arial" w:hAnsi="Arial" w:cs="Arial"/>
          <w:b w:val="0"/>
          <w:color w:val="171713"/>
          <w:rtl w:val="1"/>
        </w:rPr>
        <w:t>يبدأ شهر الدعم من اليوم التالي لاعتماد النسخة الإنتاجية. خلال هذا الشهر أقدّم دعمًا كاملًا مجانيًا لجميع الإصلاحات والتعديلات اللازمة داخل نطاق النسخة المسلّمة.</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إصلاح أي خطأ برمجي أو خلل في العرض أو الاستجابة للجوال ضمن الصفحات المشمولة.</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تعديلات النصوص والصور والترتيب البسيطة اللازمة لاعتماد النسخة النهائية.</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معالجة مشكلات النماذج والتنبيهات والنشر الناتجة من التنفيذ.</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فحص ما بعد الإطلاق ومتابعة الأداء الأساسية خلال الشهر.</w:t>
      </w:r>
    </w:p>
    <w:p>
      <w:pPr>
        <w:spacing w:before="0" w:after="0" w:line="300" w:lineRule="auto"/>
        <w:jc w:val="right"/>
        <w:bidi w:val="1"/>
      </w:pPr>
      <w:r>
        <w:rPr>
          <w:rFonts w:ascii="Arial" w:hAnsi="Arial" w:cs="Arial"/>
          <w:b w:val="0"/>
          <w:color w:val="171713"/>
          <w:rtl w:val="1"/>
        </w:rPr>
        <w:t>لا يشمل الشهر المجاني صفحات أو وظائف جديدة، إعادة تصميم كاملة، متجرًا إلكترونيًا، إدخال كميات كبيرة من المحتوى، أو تغييرات سببها خدمات خارجية غيّرت أسعارها أو سياساتها. يمكن الاتفاق بعده على دعم شهري أو ساعات عمل عند الحاجة.</w:t>
      </w:r>
    </w:p>
    <w:p>
      <w:pPr>
        <w:pStyle w:val="Heading1"/>
        <w:spacing w:before="320" w:after="140"/>
        <w:jc w:val="right"/>
        <w:keepNext/>
        <w:bidi w:val="1"/>
      </w:pPr>
      <w:r>
        <w:rPr>
          <w:rFonts w:ascii="Arial" w:hAnsi="Arial" w:cs="Arial"/>
          <w:b/>
          <w:color w:val="171713"/>
          <w:rtl w:val="1"/>
        </w:rPr>
        <w:t>الأعمال غير المشمولة في هذا السعر</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المتجر الكامل والدفع الإلكتروني والسلة والطلبات والشحن والاسترجاع وربط Moyasar أو Tap. هذا مسار V2 مستقل.</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لوحة إدارة داخلية لرفع الصور والمحتوى من دون تدخل تقني.</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نسخة إنجليزية أو تعدد اللغات.</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إعادة تصميم الهوية، كتابة الكتاب، أو تجهيز غلاف الطباعة الكامل للمطبعة.</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رسوم النطاق أو التراخيص أو الخدمات الخارجية المدفوعة أو تكاليف بوابات الدفع.</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إنتاج محتوى جديد واسع النطاق أو جلسات تصوير احترافية أو شراء صور وحقوق علامات تجارية.</w:t>
      </w:r>
    </w:p>
    <w:p>
      <w:pPr>
        <w:spacing w:before="0" w:after="0" w:line="300" w:lineRule="auto"/>
        <w:jc w:val="right"/>
        <w:bidi w:val="1"/>
      </w:pPr>
      <w:r>
        <w:rPr>
          <w:rFonts w:ascii="Arial" w:hAnsi="Arial" w:cs="Arial"/>
          <w:b/>
          <w:color w:val="171713"/>
          <w:rtl w:val="1"/>
        </w:rPr>
        <w:t>هذا الفصل يحافظ على واقعية سعر 5,500 ريال. إضافة التجارة الإلكترونية أو الإدارة أو الإنجليزية إلى النسخة نفسها تحتاج عرضًا مستقلًا حتى لا تتأثر الجودة أو المدة.</w:t>
      </w:r>
    </w:p>
    <w:p>
      <w:r>
        <w:br w:type="page"/>
      </w:r>
    </w:p>
    <w:p>
      <w:pPr>
        <w:pStyle w:val="Heading1"/>
        <w:spacing w:before="320" w:after="140"/>
        <w:jc w:val="right"/>
        <w:keepNext/>
        <w:bidi w:val="1"/>
      </w:pPr>
      <w:r>
        <w:rPr>
          <w:rFonts w:ascii="Arial" w:hAnsi="Arial" w:cs="Arial"/>
          <w:b/>
          <w:color w:val="171713"/>
          <w:rtl w:val="1"/>
        </w:rPr>
        <w:t>المطلوب من أنس قبل بدء المدة</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اعتماد نهائي للهيكل والتصميم الحالي وتحديد شخص واحد للموافقة على القرارات.</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النصوص النهائية لكل صفحة، ووصف واضح لكل مشروع، وتعريف ما يندرج تحت بدأت وبُنيت ومرّت.</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الصور الأصلية عالية الجودة وشعارات المشاريع وروابط المنصات الاجتماعية، مع تأكيد حق استخدامها ونشرها.</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تأكيد أرقام رحى المكان والبيانات التي ستظهر للعامة، وأي قيود سرية أو حقوق علامات تجارية.</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محتوى خوص النهائي: الغلاف المعتمد، النبذة، الشخصيات، المقتطفات، صور العالم، وعدد الصفحات المعروضة في القارئ.</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قرار واضح للنسخة الأولى: نموذج أبلغني عند التوفر فقط، وهو المقترح، أم طلب متجر حي بعرض مستقل.</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تأكيد أسعار الإصدارات والكميات إن كانت ستظهر، والبريد الذي يستقبل رسائل التواصل والتنبيه.</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صياغة أو موافقة سياسة الخصوصية ومدة الاحتفاظ ببيانات التواصل وفق PDPL.</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إثبات ترخيص استخدام خطوط Lyon Arabic على الويب أو اعتماد بديل مرخص.</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صلاحيات Cloudflare وGitHub وSupabase وResend والنطاق. الأفضل إنشاء الحسابات باسم أنس وإضافتي كمتعاون.</w:t>
      </w:r>
    </w:p>
    <w:p>
      <w:pPr>
        <w:spacing w:after="100" w:line="288" w:lineRule="auto"/>
        <w:ind w:left="0" w:right="230" w:hanging="230"/>
        <w:jc w:val="right"/>
        <w:bidi w:val="1"/>
      </w:pPr>
      <w:r>
        <w:rPr>
          <w:rFonts w:ascii="Arial" w:hAnsi="Arial" w:cs="Arial"/>
          <w:b/>
          <w:color w:val="234A30"/>
          <w:rtl w:val="1"/>
        </w:rPr>
        <w:t xml:space="preserve">• </w:t>
      </w:r>
      <w:r>
        <w:rPr>
          <w:rFonts w:ascii="Arial" w:hAnsi="Arial" w:cs="Arial"/>
          <w:color w:val="171713"/>
          <w:rtl w:val="1"/>
        </w:rPr>
        <w:t>ردود وموافقات خلال يومي عمل لتجنب تمدد الجدول الزمني.</w:t>
      </w:r>
    </w:p>
    <w:p>
      <w:pPr>
        <w:pStyle w:val="Heading1"/>
        <w:spacing w:before="320" w:after="140"/>
        <w:jc w:val="right"/>
        <w:keepNext/>
        <w:bidi w:val="1"/>
      </w:pPr>
      <w:r>
        <w:rPr>
          <w:rFonts w:ascii="Arial" w:hAnsi="Arial" w:cs="Arial"/>
          <w:b/>
          <w:color w:val="171713"/>
          <w:rtl w:val="1"/>
        </w:rPr>
        <w:t>اعتماد العرض</w:t>
      </w:r>
    </w:p>
    <w:p>
      <w:pPr>
        <w:spacing w:before="0" w:after="140" w:line="300" w:lineRule="auto"/>
        <w:jc w:val="right"/>
        <w:bidi w:val="1"/>
      </w:pPr>
      <w:r>
        <w:rPr>
          <w:rFonts w:ascii="Arial" w:hAnsi="Arial" w:cs="Arial"/>
          <w:b w:val="0"/>
          <w:color w:val="171713"/>
          <w:rtl w:val="1"/>
        </w:rPr>
        <w:t>صلاحية هذا العرض 14 يومًا من تاريخ إرساله. اعتماد العرض كتابيًا وتحويل الدفعة الأولى يعني الموافقة على النطاق والمدة وآلية الدفع وشروط الدعم والاستثناءات الواردة فيه.</w:t>
      </w:r>
    </w:p>
    <w:tbl>
      <w:tblPr>
        <w:tblW w:type="auto" w:w="0"/>
        <w:jc w:val="center"/>
        <w:tblLayout w:type="fixed"/>
        <w:tblLook w:firstColumn="1" w:firstRow="1" w:lastColumn="0" w:lastRow="0" w:noHBand="0" w:noVBand="1" w:val="04A0"/>
        <w:bidiVisual w:val="1"/>
      </w:tblPr>
      <w:tblGrid>
        <w:gridCol w:w="4997"/>
        <w:gridCol w:w="4997"/>
      </w:tblGrid>
      <w:tr>
        <w:tc>
          <w:tcPr>
            <w:tcW w:type="dxa" w:w="2016"/>
            <w:tcBorders>
              <w:top w:val="single" w:sz="6" w:color="D9D9D2"/>
              <w:left w:val="single" w:sz="6" w:color="D9D9D2"/>
              <w:bottom w:val="single" w:sz="6" w:color="D9D9D2"/>
              <w:right w:val="single" w:sz="6" w:color="D9D9D2"/>
              <w:insideH w:val="single" w:sz="6" w:color="D9D9D2"/>
              <w:insideV w:val="single" w:sz="6" w:color="D9D9D2"/>
            </w:tcBorders>
            <w:tcMar>
              <w:top w:w="180" w:type="dxa"/>
              <w:start w:w="160" w:type="dxa"/>
              <w:bottom w:w="180" w:type="dxa"/>
              <w:end w:w="160" w:type="dxa"/>
            </w:tcMar>
            <w:shd w:fill="E8EEE8"/>
          </w:tcPr>
          <w:p>
            <w:pPr>
              <w:spacing w:after="0"/>
              <w:jc w:val="right"/>
              <w:bidi w:val="1"/>
            </w:pPr>
            <w:r>
              <w:rPr>
                <w:rFonts w:ascii="Arial" w:hAnsi="Arial" w:cs="Arial"/>
                <w:b/>
                <w:color w:val="171713"/>
                <w:rtl w:val="1"/>
              </w:rPr>
              <w:t>الاسم</w:t>
            </w:r>
          </w:p>
        </w:tc>
        <w:tc>
          <w:tcPr>
            <w:tcW w:type="dxa" w:w="7272"/>
            <w:tcBorders>
              <w:top w:val="single" w:sz="6" w:color="D9D9D2"/>
              <w:left w:val="single" w:sz="6" w:color="D9D9D2"/>
              <w:bottom w:val="single" w:sz="6" w:color="D9D9D2"/>
              <w:right w:val="single" w:sz="6" w:color="D9D9D2"/>
              <w:insideH w:val="single" w:sz="6" w:color="D9D9D2"/>
              <w:insideV w:val="single" w:sz="6" w:color="D9D9D2"/>
            </w:tcBorders>
            <w:tcMar>
              <w:top w:w="180" w:type="dxa"/>
              <w:start w:w="160" w:type="dxa"/>
              <w:bottom w:w="180" w:type="dxa"/>
              <w:end w:w="160" w:type="dxa"/>
            </w:tcMar>
            <w:shd w:fill="FFFFFF"/>
          </w:tcPr>
          <w:p>
            <w:pPr>
              <w:spacing w:after="0"/>
              <w:jc w:val="right"/>
              <w:bidi w:val="1"/>
            </w:pPr>
            <w:r>
              <w:rPr>
                <w:rFonts w:ascii="Arial" w:hAnsi="Arial" w:cs="Arial"/>
                <w:b w:val="0"/>
                <w:color w:val="171713"/>
                <w:rtl w:val="1"/>
              </w:rPr>
            </w:r>
          </w:p>
        </w:tc>
      </w:tr>
      <w:tr>
        <w:tc>
          <w:tcPr>
            <w:tcW w:type="dxa" w:w="2016"/>
            <w:tcBorders>
              <w:top w:val="single" w:sz="6" w:color="D9D9D2"/>
              <w:left w:val="single" w:sz="6" w:color="D9D9D2"/>
              <w:bottom w:val="single" w:sz="6" w:color="D9D9D2"/>
              <w:right w:val="single" w:sz="6" w:color="D9D9D2"/>
              <w:insideH w:val="single" w:sz="6" w:color="D9D9D2"/>
              <w:insideV w:val="single" w:sz="6" w:color="D9D9D2"/>
            </w:tcBorders>
            <w:tcMar>
              <w:top w:w="180" w:type="dxa"/>
              <w:start w:w="160" w:type="dxa"/>
              <w:bottom w:w="180" w:type="dxa"/>
              <w:end w:w="160" w:type="dxa"/>
            </w:tcMar>
            <w:shd w:fill="E8EEE8"/>
          </w:tcPr>
          <w:p>
            <w:pPr>
              <w:spacing w:after="0"/>
              <w:jc w:val="right"/>
              <w:bidi w:val="1"/>
            </w:pPr>
            <w:r>
              <w:rPr>
                <w:rFonts w:ascii="Arial" w:hAnsi="Arial" w:cs="Arial"/>
                <w:b/>
                <w:color w:val="171713"/>
                <w:rtl w:val="1"/>
              </w:rPr>
              <w:t>التاريخ</w:t>
            </w:r>
          </w:p>
        </w:tc>
        <w:tc>
          <w:tcPr>
            <w:tcW w:type="dxa" w:w="7272"/>
            <w:tcBorders>
              <w:top w:val="single" w:sz="6" w:color="D9D9D2"/>
              <w:left w:val="single" w:sz="6" w:color="D9D9D2"/>
              <w:bottom w:val="single" w:sz="6" w:color="D9D9D2"/>
              <w:right w:val="single" w:sz="6" w:color="D9D9D2"/>
              <w:insideH w:val="single" w:sz="6" w:color="D9D9D2"/>
              <w:insideV w:val="single" w:sz="6" w:color="D9D9D2"/>
            </w:tcBorders>
            <w:tcMar>
              <w:top w:w="180" w:type="dxa"/>
              <w:start w:w="160" w:type="dxa"/>
              <w:bottom w:w="180" w:type="dxa"/>
              <w:end w:w="160" w:type="dxa"/>
            </w:tcMar>
            <w:shd w:fill="FFFFFF"/>
          </w:tcPr>
          <w:p>
            <w:pPr>
              <w:spacing w:after="0"/>
              <w:jc w:val="right"/>
              <w:bidi w:val="1"/>
            </w:pPr>
            <w:r>
              <w:rPr>
                <w:rFonts w:ascii="Arial" w:hAnsi="Arial" w:cs="Arial"/>
                <w:b w:val="0"/>
                <w:color w:val="171713"/>
                <w:rtl w:val="1"/>
              </w:rPr>
            </w:r>
          </w:p>
        </w:tc>
      </w:tr>
      <w:tr>
        <w:tc>
          <w:tcPr>
            <w:tcW w:type="dxa" w:w="2016"/>
            <w:tcBorders>
              <w:top w:val="single" w:sz="6" w:color="D9D9D2"/>
              <w:left w:val="single" w:sz="6" w:color="D9D9D2"/>
              <w:bottom w:val="single" w:sz="6" w:color="D9D9D2"/>
              <w:right w:val="single" w:sz="6" w:color="D9D9D2"/>
              <w:insideH w:val="single" w:sz="6" w:color="D9D9D2"/>
              <w:insideV w:val="single" w:sz="6" w:color="D9D9D2"/>
            </w:tcBorders>
            <w:tcMar>
              <w:top w:w="180" w:type="dxa"/>
              <w:start w:w="160" w:type="dxa"/>
              <w:bottom w:w="180" w:type="dxa"/>
              <w:end w:w="160" w:type="dxa"/>
            </w:tcMar>
            <w:shd w:fill="E8EEE8"/>
          </w:tcPr>
          <w:p>
            <w:pPr>
              <w:spacing w:after="0"/>
              <w:jc w:val="right"/>
              <w:bidi w:val="1"/>
            </w:pPr>
            <w:r>
              <w:rPr>
                <w:rFonts w:ascii="Arial" w:hAnsi="Arial" w:cs="Arial"/>
                <w:b/>
                <w:color w:val="171713"/>
                <w:rtl w:val="1"/>
              </w:rPr>
              <w:t>الموافقة</w:t>
            </w:r>
          </w:p>
        </w:tc>
        <w:tc>
          <w:tcPr>
            <w:tcW w:type="dxa" w:w="7272"/>
            <w:tcBorders>
              <w:top w:val="single" w:sz="6" w:color="D9D9D2"/>
              <w:left w:val="single" w:sz="6" w:color="D9D9D2"/>
              <w:bottom w:val="single" w:sz="6" w:color="D9D9D2"/>
              <w:right w:val="single" w:sz="6" w:color="D9D9D2"/>
              <w:insideH w:val="single" w:sz="6" w:color="D9D9D2"/>
              <w:insideV w:val="single" w:sz="6" w:color="D9D9D2"/>
            </w:tcBorders>
            <w:tcMar>
              <w:top w:w="180" w:type="dxa"/>
              <w:start w:w="160" w:type="dxa"/>
              <w:bottom w:w="180" w:type="dxa"/>
              <w:end w:w="160" w:type="dxa"/>
            </w:tcMar>
            <w:shd w:fill="FFFFFF"/>
          </w:tcPr>
          <w:p>
            <w:pPr>
              <w:spacing w:after="0"/>
              <w:jc w:val="right"/>
              <w:bidi w:val="1"/>
            </w:pPr>
            <w:r>
              <w:rPr>
                <w:rFonts w:ascii="Arial" w:hAnsi="Arial" w:cs="Arial"/>
                <w:b w:val="0"/>
                <w:color w:val="171713"/>
                <w:rtl w:val="1"/>
              </w:rPr>
              <w:t>أوافق على العرض ونطاق النسخة الأولى</w:t>
            </w:r>
          </w:p>
        </w:tc>
      </w:tr>
    </w:tbl>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val="1"/>
    </w:pPr>
    <w:r>
      <w:rPr>
        <w:rFonts w:ascii="Arial" w:hAnsi="Arial" w:cs="Arial"/>
        <w:color w:val="6A6A62"/>
        <w:sz w:val="18"/>
        <w:rtl w:val="1"/>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color w:val="17171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s="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عرض تنفيذ وإطلاق الموقع الشخصي لأنس عبدالله القرني</dc:title>
  <dc:subject>عرض سعر ونطاق عمل للنسخة الأولى من anasaq.me</dc:subject>
  <dc:creator>Majed</dc:creator>
  <cp:keywords>anasaq.me, Astro, Cloudflare, Supabase, Arabic RTL</cp:keywords>
  <dc:description>generated by python-docx</dc:description>
  <cp:lastModifiedBy/>
  <cp:revision>1</cp:revision>
  <dcterms:created xsi:type="dcterms:W3CDTF">2013-12-23T23:15:00Z</dcterms:created>
  <dcterms:modified xsi:type="dcterms:W3CDTF">2013-12-23T23:15:00Z</dcterms:modified>
  <cp:category/>
</cp:coreProperties>
</file>