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60"/>
        <w:jc w:val="center"/>
      </w:pPr>
      <w:r>
        <w:rPr>
          <w:rFonts w:ascii="Arial" w:cs="Arial" w:eastAsia="Arial" w:hAnsi="Arial"/>
          <w:b/>
          <w:bCs/>
          <w:caps/>
          <w:color w:val="1E3A5F"/>
          <w:sz w:val="72"/>
          <w:szCs w:val="72"/>
        </w:rPr>
        <w:t xml:space="preserve">ELKAN PROJECT</w:t>
      </w:r>
    </w:p>
    <w:p>
      <w:pPr>
        <w:spacing w:before="0" w:after="320"/>
        <w:jc w:val="center"/>
      </w:pPr>
      <w:r>
        <w:rPr>
          <w:rFonts w:ascii="Arial" w:cs="Arial" w:eastAsia="Arial" w:hAnsi="Arial"/>
          <w:color w:val="2E6DA4"/>
          <w:sz w:val="40"/>
          <w:szCs w:val="40"/>
        </w:rPr>
        <w:t xml:space="preserve">Technology Stack &amp; Architecture Report</w:t>
      </w:r>
    </w:p>
    <w:p>
      <w:pPr>
        <w:spacing w:before="0" w:after="320"/>
        <w:jc w:val="center"/>
      </w:pPr>
      <w:r>
        <w:rPr>
          <w:rFonts w:ascii="Arial" w:cs="Arial" w:eastAsia="Arial" w:hAnsi="Arial"/>
          <w:color w:val="A8C8E8"/>
          <w:sz w:val="28"/>
          <w:szCs w:val="28"/>
        </w:rPr>
        <w:t xml:space="preserve">─────────────────────────────────────────</w:t>
      </w:r>
    </w:p>
    <w:p>
      <w:pPr>
        <w:spacing w:before="0" w:after="640"/>
        <w:jc w:val="center"/>
      </w:pPr>
      <w:r>
        <w:rPr>
          <w:rFonts w:ascii="Arial" w:cs="Arial" w:eastAsia="Arial" w:hAnsi="Arial"/>
          <w:i/>
          <w:iCs/>
          <w:color w:val="444466"/>
          <w:sz w:val="22"/>
          <w:szCs w:val="22"/>
        </w:rPr>
        <w:t xml:space="preserve">A comprehensive overview of the frameworks, integrations, deployment infrastructure, subscription cost architecture, and core application flows powering the Elkan language learning platform across web and mobile environments.</w:t>
      </w:r>
    </w:p>
    <w:p>
      <w:pPr>
        <w:spacing w:before="0" w:after="80"/>
        <w:jc w:val="center"/>
      </w:pPr>
      <w:r>
        <w:rPr>
          <w:rFonts w:ascii="Arial" w:cs="Arial" w:eastAsia="Arial" w:hAnsi="Arial"/>
          <w:color w:val="444466"/>
          <w:sz w:val="20"/>
          <w:szCs w:val="20"/>
        </w:rPr>
        <w:t xml:space="preserve">Version 2.0  ·  Confidential</w:t>
      </w:r>
    </w:p>
    <w:p>
      <w:pPr>
        <w:jc w:val="center"/>
      </w:pPr>
      <w:r>
        <w:rPr>
          <w:rFonts w:ascii="Arial" w:cs="Arial" w:eastAsia="Arial" w:hAnsi="Arial"/>
          <w:color w:val="444466"/>
          <w:sz w:val="20"/>
          <w:szCs w:val="20"/>
        </w:rPr>
        <w:t xml:space="preserve">February 2026</w:t>
      </w:r>
    </w:p>
    <w:p>
      <w:pPr>
        <w:pageBreakBefore/>
      </w:pPr>
      <w:r>
        <w:t xml:space="preserve"/>
      </w:r>
    </w:p>
    <w:p>
      <w:pPr>
        <w:pStyle w:val="Heading1"/>
        <w:pBdr>
          <w:bottom w:val="single" w:color="2E6DA4" w:sz="8" w:space="4"/>
        </w:pBdr>
        <w:spacing w:before="480" w:after="160"/>
      </w:pPr>
      <w:r>
        <w:rPr>
          <w:rFonts w:ascii="Arial" w:cs="Arial" w:eastAsia="Arial" w:hAnsi="Arial"/>
          <w:b/>
          <w:bCs/>
        </w:rPr>
        <w:t xml:space="preserve">1. Technology Stacks</w:t>
      </w:r>
    </w:p>
    <w:p>
      <w:pPr>
        <w:spacing w:before="80" w:after="80"/>
      </w:pPr>
      <w:r>
        <w:rPr>
          <w:rFonts w:ascii="Arial" w:cs="Arial" w:eastAsia="Arial" w:hAnsi="Arial"/>
          <w:color w:val="444466"/>
          <w:sz w:val="22"/>
          <w:szCs w:val="22"/>
        </w:rPr>
        <w:t xml:space="preserve">This section documents all core technologies, libraries, and frameworks used across the Elkan platform. Each entry details its purpose, rationale for selection, and primary implementation location.</w:t>
      </w:r>
    </w:p>
    <w:p>
      <w:pPr>
        <w:spacing w:before="120" w:after="0"/>
      </w:pPr>
      <w:r>
        <w:t xml:space="preserve"/>
      </w:r>
    </w:p>
    <w:p>
      <w:pPr>
        <w:pStyle w:val="Heading2"/>
        <w:spacing w:before="320" w:after="120"/>
      </w:pPr>
      <w:r>
        <w:rPr>
          <w:rFonts w:ascii="Arial" w:cs="Arial" w:eastAsia="Arial" w:hAnsi="Arial"/>
          <w:b/>
          <w:bCs/>
          <w:color w:val="1E3A5F"/>
        </w:rPr>
        <w:t xml:space="preserve">1.1  Core Application Frameworks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Next.js</w:t>
            </w:r>
            <w:r>
              <w:rPr>
                <w:rFonts w:ascii="Arial" w:cs="Arial" w:eastAsia="Arial" w:hAnsi="Arial"/>
                <w:i/>
                <w:iCs/>
                <w:color w:val="444466"/>
                <w:sz w:val="18"/>
                <w:szCs w:val="18"/>
              </w:rPr>
              <w:t xml:space="preserve">  v16.1.1</w:t>
            </w:r>
          </w:p>
          <w:p>
            <w:pPr>
              <w:spacing w:before="0" w:after="60"/>
            </w:pPr>
            <w:r>
              <w:rPr>
                <w:rFonts w:ascii="Arial" w:cs="Arial" w:eastAsia="Arial" w:hAnsi="Arial"/>
                <w:color w:val="1A1A2E"/>
                <w:sz w:val="20"/>
                <w:szCs w:val="20"/>
              </w:rPr>
              <w:t xml:space="preserve">Full-stack web framework. Provides SSR, SSG, and unified API routes for the web application.</w:t>
            </w:r>
          </w:p>
          <w:p>
            <w:pPr>
              <w:spacing w:before="0" w:after="0"/>
            </w:pPr>
            <w:r>
              <w:rPr>
                <w:rFonts w:ascii="Arial" w:cs="Arial" w:eastAsia="Arial" w:hAnsi="Arial"/>
                <w:b/>
                <w:bCs/>
                <w:color w:val="444466"/>
                <w:sz w:val="18"/>
                <w:szCs w:val="18"/>
              </w:rPr>
              <w:t xml:space="preserve">Location: </w:t>
            </w:r>
            <w:r>
              <w:rPr>
                <w:rFonts w:ascii="Arial" w:cs="Arial" w:eastAsia="Arial" w:hAnsi="Arial"/>
                <w:i/>
                <w:iCs/>
                <w:color w:val="444466"/>
                <w:sz w:val="18"/>
                <w:szCs w:val="18"/>
              </w:rPr>
              <w:t xml:space="preserve">/front-end (App Router + /src/app/api)</w:t>
            </w:r>
          </w:p>
        </w:tc>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Expo &amp; React Native</w:t>
            </w:r>
            <w:r>
              <w:rPr>
                <w:rFonts w:ascii="Arial" w:cs="Arial" w:eastAsia="Arial" w:hAnsi="Arial"/>
                <w:i/>
                <w:iCs/>
                <w:color w:val="444466"/>
                <w:sz w:val="18"/>
                <w:szCs w:val="18"/>
              </w:rPr>
              <w:t xml:space="preserve">  ~54.x / 0.81.5</w:t>
            </w:r>
          </w:p>
          <w:p>
            <w:pPr>
              <w:spacing w:before="0" w:after="60"/>
            </w:pPr>
            <w:r>
              <w:rPr>
                <w:rFonts w:ascii="Arial" w:cs="Arial" w:eastAsia="Arial" w:hAnsi="Arial"/>
                <w:color w:val="1A1A2E"/>
                <w:sz w:val="20"/>
                <w:szCs w:val="20"/>
              </w:rPr>
              <w:t xml:space="preserve">Cross-platform mobile framework for iOS and Android. Enables OTA updates with a single TypeScript codebase.</w:t>
            </w:r>
          </w:p>
          <w:p>
            <w:pPr>
              <w:spacing w:before="0" w:after="0"/>
            </w:pPr>
            <w:r>
              <w:rPr>
                <w:rFonts w:ascii="Arial" w:cs="Arial" w:eastAsia="Arial" w:hAnsi="Arial"/>
                <w:b/>
                <w:bCs/>
                <w:color w:val="444466"/>
                <w:sz w:val="18"/>
                <w:szCs w:val="18"/>
              </w:rPr>
              <w:t xml:space="preserve">Location: </w:t>
            </w:r>
            <w:r>
              <w:rPr>
                <w:rFonts w:ascii="Arial" w:cs="Arial" w:eastAsia="Arial" w:hAnsi="Arial"/>
                <w:i/>
                <w:iCs/>
                <w:color w:val="444466"/>
                <w:sz w:val="18"/>
                <w:szCs w:val="18"/>
              </w:rPr>
              <w:t xml:space="preserve">/mobile</w:t>
            </w:r>
          </w:p>
        </w:tc>
      </w:tr>
    </w:tbl>
    <w:p>
      <w:pPr>
        <w:spacing w:before="120" w:after="0"/>
      </w:pPr>
      <w:r>
        <w:t xml:space="preserve"/>
      </w:r>
    </w:p>
    <w:p>
      <w:pPr>
        <w:pStyle w:val="Heading2"/>
        <w:spacing w:before="320" w:after="120"/>
      </w:pPr>
      <w:r>
        <w:rPr>
          <w:rFonts w:ascii="Arial" w:cs="Arial" w:eastAsia="Arial" w:hAnsi="Arial"/>
          <w:b/>
          <w:bCs/>
          <w:color w:val="1E3A5F"/>
        </w:rPr>
        <w:t xml:space="preserve">1.2  Global State &amp; Data Fetching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Zustand</w:t>
            </w:r>
            <w:r>
              <w:rPr>
                <w:rFonts w:ascii="Arial" w:cs="Arial" w:eastAsia="Arial" w:hAnsi="Arial"/>
                <w:i/>
                <w:iCs/>
                <w:color w:val="444466"/>
                <w:sz w:val="18"/>
                <w:szCs w:val="18"/>
              </w:rPr>
              <w:t xml:space="preserve"/>
            </w:r>
          </w:p>
          <w:p>
            <w:pPr>
              <w:spacing w:before="0" w:after="60"/>
            </w:pPr>
            <w:r>
              <w:rPr>
                <w:rFonts w:ascii="Arial" w:cs="Arial" w:eastAsia="Arial" w:hAnsi="Arial"/>
                <w:color w:val="1A1A2E"/>
                <w:sz w:val="20"/>
                <w:szCs w:val="20"/>
              </w:rPr>
              <w:t xml:space="preserve">Lightweight global state management for UI states. Minimal boilerplate, integrates cleanly with React hooks.</w:t>
            </w:r>
          </w:p>
          <w:p>
            <w:pPr>
              <w:spacing w:before="0" w:after="0"/>
            </w:pPr>
            <w:r>
              <w:rPr>
                <w:rFonts w:ascii="Arial" w:cs="Arial" w:eastAsia="Arial" w:hAnsi="Arial"/>
                <w:b/>
                <w:bCs/>
                <w:color w:val="444466"/>
                <w:sz w:val="18"/>
                <w:szCs w:val="18"/>
              </w:rPr>
              <w:t xml:space="preserve">Location: </w:t>
            </w:r>
            <w:r>
              <w:rPr>
                <w:rFonts w:ascii="Arial" w:cs="Arial" w:eastAsia="Arial" w:hAnsi="Arial"/>
                <w:i/>
                <w:iCs/>
                <w:color w:val="444466"/>
                <w:sz w:val="18"/>
                <w:szCs w:val="18"/>
              </w:rPr>
              <w:t xml:space="preserve">/front-end/src/store and /mobile/store</w:t>
            </w:r>
          </w:p>
        </w:tc>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React Query</w:t>
            </w:r>
            <w:r>
              <w:rPr>
                <w:rFonts w:ascii="Arial" w:cs="Arial" w:eastAsia="Arial" w:hAnsi="Arial"/>
                <w:i/>
                <w:iCs/>
                <w:color w:val="444466"/>
                <w:sz w:val="18"/>
                <w:szCs w:val="18"/>
              </w:rPr>
              <w:t xml:space="preserve">  @tanstack</w:t>
            </w:r>
          </w:p>
          <w:p>
            <w:pPr>
              <w:spacing w:before="0" w:after="60"/>
            </w:pPr>
            <w:r>
              <w:rPr>
                <w:rFonts w:ascii="Arial" w:cs="Arial" w:eastAsia="Arial" w:hAnsi="Arial"/>
                <w:color w:val="1A1A2E"/>
                <w:sz w:val="20"/>
                <w:szCs w:val="20"/>
              </w:rPr>
              <w:t xml:space="preserve">Async state and API communication. Auto-caches responses, handles background refetching and loading/error states.</w:t>
            </w:r>
          </w:p>
          <w:p>
            <w:pPr>
              <w:spacing w:before="0" w:after="0"/>
            </w:pPr>
            <w:r>
              <w:rPr>
                <w:rFonts w:ascii="Arial" w:cs="Arial" w:eastAsia="Arial" w:hAnsi="Arial"/>
                <w:b/>
                <w:bCs/>
                <w:color w:val="444466"/>
                <w:sz w:val="18"/>
                <w:szCs w:val="18"/>
              </w:rPr>
              <w:t xml:space="preserve">Location: </w:t>
            </w:r>
            <w:r>
              <w:rPr>
                <w:rFonts w:ascii="Arial" w:cs="Arial" w:eastAsia="Arial" w:hAnsi="Arial"/>
                <w:i/>
                <w:iCs/>
                <w:color w:val="444466"/>
                <w:sz w:val="18"/>
                <w:szCs w:val="18"/>
              </w:rPr>
              <w:t xml:space="preserve">Wraps Axios calls in web + mobile components</w:t>
            </w:r>
          </w:p>
        </w:tc>
      </w:tr>
    </w:tbl>
    <w:p>
      <w:pPr>
        <w:spacing w:before="120" w:after="0"/>
      </w:pPr>
      <w:r>
        <w:t xml:space="preserve"/>
      </w:r>
    </w:p>
    <w:p>
      <w:pPr>
        <w:pStyle w:val="Heading2"/>
        <w:spacing w:before="320" w:after="120"/>
      </w:pPr>
      <w:r>
        <w:rPr>
          <w:rFonts w:ascii="Arial" w:cs="Arial" w:eastAsia="Arial" w:hAnsi="Arial"/>
          <w:b/>
          <w:bCs/>
          <w:color w:val="1E3A5F"/>
        </w:rPr>
        <w:t xml:space="preserve">1.3  AI, Machine Learning &amp; Audio Processing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Google Gemini</w:t>
            </w:r>
            <w:r>
              <w:rPr>
                <w:rFonts w:ascii="Arial" w:cs="Arial" w:eastAsia="Arial" w:hAnsi="Arial"/>
                <w:i/>
                <w:iCs/>
                <w:color w:val="444466"/>
                <w:sz w:val="18"/>
                <w:szCs w:val="18"/>
              </w:rPr>
              <w:t xml:space="preserve">  2.5 Flash</w:t>
            </w:r>
          </w:p>
          <w:p>
            <w:pPr>
              <w:spacing w:before="0" w:after="60"/>
            </w:pPr>
            <w:r>
              <w:rPr>
                <w:rFonts w:ascii="Arial" w:cs="Arial" w:eastAsia="Arial" w:hAnsi="Arial"/>
                <w:color w:val="1A1A2E"/>
                <w:sz w:val="20"/>
                <w:szCs w:val="20"/>
              </w:rPr>
              <w:t xml:space="preserve">Core conversational engine, prompt evaluations, and roleplay generation. Two models used depending on context.</w:t>
            </w:r>
          </w:p>
          <w:p>
            <w:pPr>
              <w:spacing w:before="40" w:after="0"/>
            </w:pPr>
            <w:r>
              <w:rPr>
                <w:rFonts w:ascii="Arial" w:cs="Arial" w:eastAsia="Arial" w:hAnsi="Arial"/>
                <w:i/>
                <w:iCs/>
                <w:color w:val="444466"/>
                <w:sz w:val="18"/>
                <w:szCs w:val="18"/>
              </w:rPr>
              <w:t xml:space="preserve">gemini-2.5-flash — text generation, grammar checks, standard responses.
gemini-2.5-flash-native-audio-latest — Live API WebSockets for real-time voice conversations.</w:t>
            </w:r>
          </w:p>
        </w:tc>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SpeechAce</w:t>
            </w:r>
            <w:r>
              <w:rPr>
                <w:rFonts w:ascii="Arial" w:cs="Arial" w:eastAsia="Arial" w:hAnsi="Arial"/>
                <w:i/>
                <w:iCs/>
                <w:color w:val="444466"/>
                <w:sz w:val="18"/>
                <w:szCs w:val="18"/>
              </w:rPr>
              <w:t xml:space="preserve"/>
            </w:r>
          </w:p>
          <w:p>
            <w:pPr>
              <w:spacing w:before="0" w:after="60"/>
            </w:pPr>
            <w:r>
              <w:rPr>
                <w:rFonts w:ascii="Arial" w:cs="Arial" w:eastAsia="Arial" w:hAnsi="Arial"/>
                <w:color w:val="1A1A2E"/>
                <w:sz w:val="20"/>
                <w:szCs w:val="20"/>
              </w:rPr>
              <w:t xml:space="preserve">Advanced pronunciation scoring and speech assessment. Delivers phoneme-level metrics, fluency, and vocabulary scores.</w:t>
            </w:r>
          </w:p>
          <w:p>
            <w:pPr>
              <w:spacing w:before="40" w:after="0"/>
            </w:pPr>
            <w:r>
              <w:rPr>
                <w:rFonts w:ascii="Arial" w:cs="Arial" w:eastAsia="Arial" w:hAnsi="Arial"/>
                <w:i/>
                <w:iCs/>
                <w:color w:val="444466"/>
                <w:sz w:val="18"/>
                <w:szCs w:val="18"/>
              </w:rPr>
              <w:t xml:space="preserve">Evaluates student pronunciation with the precision of a human tutor.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ElevenLabs</w:t>
            </w:r>
            <w:r>
              <w:rPr>
                <w:rFonts w:ascii="Arial" w:cs="Arial" w:eastAsia="Arial" w:hAnsi="Arial"/>
                <w:i/>
                <w:iCs/>
                <w:color w:val="444466"/>
                <w:sz w:val="18"/>
                <w:szCs w:val="18"/>
              </w:rPr>
              <w:t xml:space="preserve"/>
            </w:r>
          </w:p>
          <w:p>
            <w:pPr>
              <w:spacing w:before="0" w:after="60"/>
            </w:pPr>
            <w:r>
              <w:rPr>
                <w:rFonts w:ascii="Arial" w:cs="Arial" w:eastAsia="Arial" w:hAnsi="Arial"/>
                <w:color w:val="1A1A2E"/>
                <w:sz w:val="20"/>
                <w:szCs w:val="20"/>
              </w:rPr>
              <w:t xml:space="preserve">Premium AI Text-to-Speech (TTS) generation. Provides realistic, human-sounding voices with high emotional range.</w:t>
            </w:r>
          </w:p>
          <w:p>
            <w:pPr>
              <w:spacing w:before="40" w:after="0"/>
            </w:pPr>
            <w:r>
              <w:rPr>
                <w:rFonts w:ascii="Arial" w:cs="Arial" w:eastAsia="Arial" w:hAnsi="Arial"/>
                <w:i/>
                <w:iCs/>
                <w:color w:val="444466"/>
                <w:sz w:val="18"/>
                <w:szCs w:val="18"/>
              </w:rPr>
              <w:t xml:space="preserve">Used for reading articles, instructions, and feedback where native TTS is insufficient.</w:t>
            </w:r>
          </w:p>
        </w:tc>
        <w:tc>
          <w:tcPr>
            <w:tcW w:type="dxa" w:w="45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before="120" w:after="0"/>
      </w:pPr>
      <w:r>
        <w:t xml:space="preserve"/>
      </w:r>
    </w:p>
    <w:p>
      <w:pPr>
        <w:pStyle w:val="Heading2"/>
        <w:spacing w:before="320" w:after="120"/>
      </w:pPr>
      <w:r>
        <w:rPr>
          <w:rFonts w:ascii="Arial" w:cs="Arial" w:eastAsia="Arial" w:hAnsi="Arial"/>
          <w:b/>
          <w:bCs/>
          <w:color w:val="1E3A5F"/>
        </w:rPr>
        <w:t xml:space="preserve">1.4  Authentication, Security &amp; Database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Better Auth</w:t>
            </w:r>
            <w:r>
              <w:rPr>
                <w:rFonts w:ascii="Arial" w:cs="Arial" w:eastAsia="Arial" w:hAnsi="Arial"/>
                <w:i/>
                <w:iCs/>
                <w:color w:val="444466"/>
                <w:sz w:val="18"/>
                <w:szCs w:val="18"/>
              </w:rPr>
              <w:t xml:space="preserve"/>
            </w:r>
          </w:p>
          <w:p>
            <w:pPr>
              <w:spacing w:before="0" w:after="60"/>
            </w:pPr>
            <w:r>
              <w:rPr>
                <w:rFonts w:ascii="Arial" w:cs="Arial" w:eastAsia="Arial" w:hAnsi="Arial"/>
                <w:color w:val="1A1A2E"/>
                <w:sz w:val="20"/>
                <w:szCs w:val="20"/>
              </w:rPr>
              <w:t xml:space="preserve">Authentication engine handling email/password auth, session management, and OAuth integrations (Google/Apple).</w:t>
            </w:r>
          </w:p>
          <w:p>
            <w:pPr>
              <w:spacing w:before="0" w:after="0"/>
            </w:pPr>
            <w:r>
              <w:rPr>
                <w:rFonts w:ascii="Arial" w:cs="Arial" w:eastAsia="Arial" w:hAnsi="Arial"/>
                <w:b/>
                <w:bCs/>
                <w:color w:val="444466"/>
                <w:sz w:val="18"/>
                <w:szCs w:val="18"/>
              </w:rPr>
              <w:t xml:space="preserve">Location: </w:t>
            </w:r>
            <w:r>
              <w:rPr>
                <w:rFonts w:ascii="Arial" w:cs="Arial" w:eastAsia="Arial" w:hAnsi="Arial"/>
                <w:i/>
                <w:iCs/>
                <w:color w:val="444466"/>
                <w:sz w:val="18"/>
                <w:szCs w:val="18"/>
              </w:rPr>
              <w:t xml:space="preserve">auth.ts (backend) + client hooks (web + mobile)</w:t>
            </w:r>
          </w:p>
        </w:tc>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Mongoose + MongoDB</w:t>
            </w:r>
            <w:r>
              <w:rPr>
                <w:rFonts w:ascii="Arial" w:cs="Arial" w:eastAsia="Arial" w:hAnsi="Arial"/>
                <w:i/>
                <w:iCs/>
                <w:color w:val="444466"/>
                <w:sz w:val="18"/>
                <w:szCs w:val="18"/>
              </w:rPr>
              <w:t xml:space="preserve">  v9.1.1</w:t>
            </w:r>
          </w:p>
          <w:p>
            <w:pPr>
              <w:spacing w:before="0" w:after="60"/>
            </w:pPr>
            <w:r>
              <w:rPr>
                <w:rFonts w:ascii="Arial" w:cs="Arial" w:eastAsia="Arial" w:hAnsi="Arial"/>
                <w:color w:val="1A1A2E"/>
                <w:sz w:val="20"/>
                <w:szCs w:val="20"/>
              </w:rPr>
              <w:t xml:space="preserve">NoSQL document database with ODM schema validation. Fits flexible JSON-heavy education data structures.</w:t>
            </w:r>
          </w:p>
          <w:p>
            <w:pPr>
              <w:spacing w:before="0" w:after="0"/>
            </w:pPr>
            <w:r>
              <w:rPr>
                <w:rFonts w:ascii="Arial" w:cs="Arial" w:eastAsia="Arial" w:hAnsi="Arial"/>
                <w:b/>
                <w:bCs/>
                <w:color w:val="444466"/>
                <w:sz w:val="18"/>
                <w:szCs w:val="18"/>
              </w:rPr>
              <w:t xml:space="preserve">Location: </w:t>
            </w:r>
            <w:r>
              <w:rPr>
                <w:rFonts w:ascii="Arial" w:cs="Arial" w:eastAsia="Arial" w:hAnsi="Arial"/>
                <w:i/>
                <w:iCs/>
                <w:color w:val="444466"/>
                <w:sz w:val="18"/>
                <w:szCs w:val="18"/>
              </w:rPr>
              <w:t xml:space="preserve">/front-end/src/models + /src/lib/dbConnect.ts</w:t>
            </w:r>
          </w:p>
        </w:tc>
      </w:tr>
    </w:tbl>
    <w:p>
      <w:pPr>
        <w:spacing w:before="120" w:after="0"/>
      </w:pPr>
      <w:r>
        <w:t xml:space="preserve"/>
      </w:r>
    </w:p>
    <w:p>
      <w:pPr>
        <w:pStyle w:val="Heading2"/>
        <w:spacing w:before="320" w:after="120"/>
      </w:pPr>
      <w:r>
        <w:rPr>
          <w:rFonts w:ascii="Arial" w:cs="Arial" w:eastAsia="Arial" w:hAnsi="Arial"/>
          <w:b/>
          <w:bCs/>
          <w:color w:val="1E3A5F"/>
        </w:rPr>
        <w:t xml:space="preserve">1.5  Cloud Infrastructure &amp; Deployment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Vercel</w:t>
            </w:r>
            <w:r>
              <w:rPr>
                <w:rFonts w:ascii="Arial" w:cs="Arial" w:eastAsia="Arial" w:hAnsi="Arial"/>
                <w:i/>
                <w:iCs/>
                <w:color w:val="444466"/>
                <w:sz w:val="18"/>
                <w:szCs w:val="18"/>
              </w:rPr>
              <w:t xml:space="preserve"/>
            </w:r>
          </w:p>
          <w:p>
            <w:pPr>
              <w:spacing w:before="0" w:after="60"/>
            </w:pPr>
            <w:r>
              <w:rPr>
                <w:rFonts w:ascii="Arial" w:cs="Arial" w:eastAsia="Arial" w:hAnsi="Arial"/>
                <w:color w:val="1A1A2E"/>
                <w:sz w:val="20"/>
                <w:szCs w:val="20"/>
              </w:rPr>
              <w:t xml:space="preserve">Production hosting for the Next.js web app and backend API. Purpose-built for Next.js with edge caching and zero-config CI/CD.</w:t>
            </w:r>
          </w:p>
          <w:p>
            <w:pPr>
              <w:spacing w:before="40" w:after="0"/>
            </w:pPr>
            <w:r>
              <w:rPr>
                <w:rFonts w:ascii="Arial" w:cs="Arial" w:eastAsia="Arial" w:hAnsi="Arial"/>
                <w:i/>
                <w:iCs/>
                <w:color w:val="444466"/>
                <w:sz w:val="18"/>
                <w:szCs w:val="18"/>
              </w:rPr>
              <w:t xml:space="preserve">Deployments triggered automatically from GitHub.</w:t>
            </w:r>
          </w:p>
        </w:tc>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Expo Application Services (EAS)</w:t>
            </w:r>
            <w:r>
              <w:rPr>
                <w:rFonts w:ascii="Arial" w:cs="Arial" w:eastAsia="Arial" w:hAnsi="Arial"/>
                <w:i/>
                <w:iCs/>
                <w:color w:val="444466"/>
                <w:sz w:val="18"/>
                <w:szCs w:val="18"/>
              </w:rPr>
              <w:t xml:space="preserve"/>
            </w:r>
          </w:p>
          <w:p>
            <w:pPr>
              <w:spacing w:before="0" w:after="60"/>
            </w:pPr>
            <w:r>
              <w:rPr>
                <w:rFonts w:ascii="Arial" w:cs="Arial" w:eastAsia="Arial" w:hAnsi="Arial"/>
                <w:color w:val="1A1A2E"/>
                <w:sz w:val="20"/>
                <w:szCs w:val="20"/>
              </w:rPr>
              <w:t xml:space="preserve">Cloud build and deployment service for the mobile app. Manages native Android/iOS builds and handles app store submissions.</w:t>
            </w:r>
          </w:p>
          <w:p>
            <w:pPr>
              <w:spacing w:before="40" w:after="0"/>
            </w:pPr>
            <w:r>
              <w:rPr>
                <w:rFonts w:ascii="Arial" w:cs="Arial" w:eastAsia="Arial" w:hAnsi="Arial"/>
                <w:i/>
                <w:iCs/>
                <w:color w:val="444466"/>
                <w:sz w:val="18"/>
                <w:szCs w:val="18"/>
              </w:rPr>
              <w:t xml:space="preserve">Uses eas build for cloud-native compilation.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Cloudinary</w:t>
            </w:r>
            <w:r>
              <w:rPr>
                <w:rFonts w:ascii="Arial" w:cs="Arial" w:eastAsia="Arial" w:hAnsi="Arial"/>
                <w:i/>
                <w:iCs/>
                <w:color w:val="444466"/>
                <w:sz w:val="18"/>
                <w:szCs w:val="18"/>
              </w:rPr>
              <w:t xml:space="preserve"/>
            </w:r>
          </w:p>
          <w:p>
            <w:pPr>
              <w:spacing w:before="0" w:after="60"/>
            </w:pPr>
            <w:r>
              <w:rPr>
                <w:rFonts w:ascii="Arial" w:cs="Arial" w:eastAsia="Arial" w:hAnsi="Arial"/>
                <w:color w:val="1A1A2E"/>
                <w:sz w:val="20"/>
                <w:szCs w:val="20"/>
              </w:rPr>
              <w:t xml:space="preserve">Global CDN for media (images &amp; audio) hosting and optimised delivery. Handles resizing, format conversion, and secure streaming.</w:t>
            </w:r>
          </w:p>
          <w:p>
            <w:pPr>
              <w:spacing w:before="0" w:after="0"/>
            </w:pPr>
            <w:r>
              <w:rPr>
                <w:rFonts w:ascii="Arial" w:cs="Arial" w:eastAsia="Arial" w:hAnsi="Arial"/>
                <w:b/>
                <w:bCs/>
                <w:color w:val="444466"/>
                <w:sz w:val="18"/>
                <w:szCs w:val="18"/>
              </w:rPr>
              <w:t xml:space="preserve">Location: </w:t>
            </w:r>
            <w:r>
              <w:rPr>
                <w:rFonts w:ascii="Arial" w:cs="Arial" w:eastAsia="Arial" w:hAnsi="Arial"/>
                <w:i/>
                <w:iCs/>
                <w:color w:val="444466"/>
                <w:sz w:val="18"/>
                <w:szCs w:val="18"/>
              </w:rPr>
              <w:t xml:space="preserve">/api/upload routes + CldUploadWidget</w:t>
            </w:r>
          </w:p>
        </w:tc>
        <w:tc>
          <w:tcPr>
            <w:tcW w:type="dxa" w:w="4560"/>
            <w:tcBorders>
              <w:top w:val="single" w:color="D6E4F0" w:sz="1"/>
              <w:left w:val="single" w:color="D6E4F0" w:sz="1"/>
              <w:bottom w:val="single" w:color="D6E4F0" w:sz="1"/>
              <w:right w:val="single" w:color="D6E4F0" w:sz="1"/>
            </w:tcBorders>
            <w:shd w:fill="F4F6F9" w:val="clear"/>
            <w:tcMar>
              <w:top w:type="dxa" w:w="160"/>
              <w:left w:type="dxa" w:w="200"/>
              <w:bottom w:type="dxa" w:w="160"/>
              <w:right w:type="dxa" w:w="200"/>
            </w:tcMar>
          </w:tcPr>
          <w:p>
            <w:pPr>
              <w:spacing w:before="0" w:after="60"/>
            </w:pPr>
            <w:r>
              <w:rPr>
                <w:rFonts w:ascii="Arial" w:cs="Arial" w:eastAsia="Arial" w:hAnsi="Arial"/>
                <w:b/>
                <w:bCs/>
                <w:color w:val="2E6DA4"/>
                <w:sz w:val="22"/>
                <w:szCs w:val="22"/>
              </w:rPr>
              <w:t xml:space="preserve">GoDaddy</w:t>
            </w:r>
            <w:r>
              <w:rPr>
                <w:rFonts w:ascii="Arial" w:cs="Arial" w:eastAsia="Arial" w:hAnsi="Arial"/>
                <w:i/>
                <w:iCs/>
                <w:color w:val="444466"/>
                <w:sz w:val="18"/>
                <w:szCs w:val="18"/>
              </w:rPr>
              <w:t xml:space="preserve"/>
            </w:r>
          </w:p>
          <w:p>
            <w:pPr>
              <w:spacing w:before="0" w:after="60"/>
            </w:pPr>
            <w:r>
              <w:rPr>
                <w:rFonts w:ascii="Arial" w:cs="Arial" w:eastAsia="Arial" w:hAnsi="Arial"/>
                <w:color w:val="1A1A2E"/>
                <w:sz w:val="20"/>
                <w:szCs w:val="20"/>
              </w:rPr>
              <w:t xml:space="preserve">Domain name registrar and DNS management. Handles routing, SSL provisioning validation, and DNS records pointing to Vercel.</w:t>
            </w:r>
          </w:p>
          <w:p>
            <w:pPr>
              <w:spacing w:before="40" w:after="0"/>
            </w:pPr>
            <w:r>
              <w:rPr>
                <w:rFonts w:ascii="Arial" w:cs="Arial" w:eastAsia="Arial" w:hAnsi="Arial"/>
                <w:i/>
                <w:iCs/>
                <w:color w:val="444466"/>
                <w:sz w:val="18"/>
                <w:szCs w:val="18"/>
              </w:rPr>
              <w:t xml:space="preserve">Centralised management of the Elkan custom domain.</w:t>
            </w:r>
          </w:p>
        </w:tc>
      </w:tr>
    </w:tbl>
    <w:p>
      <w:pPr>
        <w:pBdr>
          <w:bottom w:val="single" w:color="D6E4F0" w:sz="2" w:space="1"/>
        </w:pBdr>
        <w:spacing w:before="200" w:after="200"/>
      </w:pPr>
      <w:r>
        <w:t xml:space="preserve"/>
      </w:r>
    </w:p>
    <w:p>
      <w:pPr>
        <w:pStyle w:val="Heading1"/>
        <w:pBdr>
          <w:bottom w:val="single" w:color="2E6DA4" w:sz="8" w:space="4"/>
        </w:pBdr>
        <w:spacing w:before="480" w:after="160"/>
      </w:pPr>
      <w:r>
        <w:rPr>
          <w:rFonts w:ascii="Arial" w:cs="Arial" w:eastAsia="Arial" w:hAnsi="Arial"/>
          <w:b/>
          <w:bCs/>
        </w:rPr>
        <w:t xml:space="preserve">2. Platform Subscription &amp; Cost Architecture</w:t>
      </w:r>
    </w:p>
    <w:p>
      <w:pPr>
        <w:spacing w:before="80" w:after="80"/>
      </w:pPr>
      <w:r>
        <w:rPr>
          <w:rFonts w:ascii="Arial" w:cs="Arial" w:eastAsia="Arial" w:hAnsi="Arial"/>
          <w:color w:val="444466"/>
          <w:sz w:val="22"/>
          <w:szCs w:val="22"/>
        </w:rPr>
        <w:t xml:space="preserve">Elkan carefully balances operational costs by leveraging generous free tiers across most services, keeping overhead extremely low during early scaling. Currently, only two services incur active costs.</w:t>
      </w:r>
    </w:p>
    <w:p>
      <w:pPr>
        <w:spacing w:before="120" w:after="0"/>
      </w:pPr>
      <w:r>
        <w:t xml:space="preserve"/>
      </w:r>
    </w:p>
    <w:p>
      <w:pPr>
        <w:pStyle w:val="Heading2"/>
        <w:spacing w:before="320" w:after="120"/>
      </w:pPr>
      <w:r>
        <w:rPr>
          <w:rFonts w:ascii="Arial" w:cs="Arial" w:eastAsia="Arial" w:hAnsi="Arial"/>
          <w:b/>
          <w:bCs/>
          <w:color w:val="1E3A5F"/>
        </w:rPr>
        <w:t xml:space="preserve">2.1  Operational Cost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4680"/>
            <w:tcBorders>
              <w:top w:val="single" w:color="FFFFFF" w:sz="1"/>
              <w:left w:val="single" w:color="FFFFFF" w:sz="1"/>
              <w:bottom w:val="single" w:color="FFFFFF" w:sz="1"/>
              <w:right w:val="single" w:color="FFFFFF" w:sz="1"/>
            </w:tcBorders>
            <w:shd w:fill="1E3A5F"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Service</w:t>
            </w:r>
          </w:p>
        </w:tc>
        <w:tc>
          <w:tcPr>
            <w:tcW w:type="dxa" w:w="4680"/>
            <w:tcBorders>
              <w:top w:val="single" w:color="FFFFFF" w:sz="1"/>
              <w:left w:val="single" w:color="FFFFFF" w:sz="1"/>
              <w:bottom w:val="single" w:color="FFFFFF" w:sz="1"/>
              <w:right w:val="single" w:color="FFFFFF" w:sz="1"/>
            </w:tcBorders>
            <w:shd w:fill="1E3A5F"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Current Cost</w:t>
            </w:r>
          </w:p>
        </w:tc>
        <w:tc>
          <w:tcPr>
            <w:tcW w:type="dxa" w:w="4680"/>
            <w:tcBorders>
              <w:top w:val="single" w:color="FFFFFF" w:sz="1"/>
              <w:left w:val="single" w:color="FFFFFF" w:sz="1"/>
              <w:bottom w:val="single" w:color="FFFFFF" w:sz="1"/>
              <w:right w:val="single" w:color="FFFFFF" w:sz="1"/>
            </w:tcBorders>
            <w:shd w:fill="1E3A5F"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Notes</w:t>
            </w:r>
          </w:p>
        </w:tc>
      </w:tr>
      <w:tr>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tcPr>
          <w:p>
            <w:r>
              <w:rPr>
                <w:rFonts w:ascii="Arial" w:cs="Arial" w:eastAsia="Arial" w:hAnsi="Arial"/>
                <w:b/>
                <w:bCs/>
                <w:color w:val="1A1A2E"/>
                <w:sz w:val="20"/>
                <w:szCs w:val="20"/>
              </w:rPr>
              <w:t xml:space="preserve">Vercel</w:t>
            </w:r>
          </w:p>
        </w:tc>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tcPr>
          <w:p>
            <w:pPr>
              <w:jc w:val="center"/>
            </w:pPr>
            <w:r>
              <w:rPr>
                <w:rFonts w:ascii="Arial" w:cs="Arial" w:eastAsia="Arial" w:hAnsi="Arial"/>
                <w:b/>
                <w:bCs/>
                <w:color w:val="1A7A4A"/>
                <w:sz w:val="20"/>
                <w:szCs w:val="20"/>
              </w:rPr>
              <w:t xml:space="preserve">Free</w:t>
            </w:r>
          </w:p>
        </w:tc>
        <w:tc>
          <w:tcPr>
            <w:tcW w:type="dxa" w:w="468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tcPr>
          <w:p>
            <w:r>
              <w:rPr>
                <w:rFonts w:ascii="Arial" w:cs="Arial" w:eastAsia="Arial" w:hAnsi="Arial"/>
                <w:i/>
                <w:iCs/>
                <w:color w:val="444466"/>
                <w:sz w:val="19"/>
                <w:szCs w:val="19"/>
              </w:rPr>
              <w:t xml:space="preserve">Hobby/Pro free compute allowance for Next.js hosting</w:t>
            </w:r>
          </w:p>
        </w:tc>
      </w:tr>
      <w:tr>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tcPr>
          <w:p>
            <w:r>
              <w:rPr>
                <w:rFonts w:ascii="Arial" w:cs="Arial" w:eastAsia="Arial" w:hAnsi="Arial"/>
                <w:b/>
                <w:bCs/>
                <w:color w:val="1A1A2E"/>
                <w:sz w:val="20"/>
                <w:szCs w:val="20"/>
              </w:rPr>
              <w:t xml:space="preserve">MongoDB Atlas</w:t>
            </w:r>
          </w:p>
        </w:tc>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tcPr>
          <w:p>
            <w:pPr>
              <w:jc w:val="center"/>
            </w:pPr>
            <w:r>
              <w:rPr>
                <w:rFonts w:ascii="Arial" w:cs="Arial" w:eastAsia="Arial" w:hAnsi="Arial"/>
                <w:b/>
                <w:bCs/>
                <w:color w:val="1A7A4A"/>
                <w:sz w:val="20"/>
                <w:szCs w:val="20"/>
              </w:rPr>
              <w:t xml:space="preserve">Free</w:t>
            </w:r>
          </w:p>
        </w:tc>
        <w:tc>
          <w:tcPr>
            <w:tcW w:type="dxa" w:w="468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tcPr>
          <w:p>
            <w:r>
              <w:rPr>
                <w:rFonts w:ascii="Arial" w:cs="Arial" w:eastAsia="Arial" w:hAnsi="Arial"/>
                <w:i/>
                <w:iCs/>
                <w:color w:val="444466"/>
                <w:sz w:val="19"/>
                <w:szCs w:val="19"/>
              </w:rPr>
              <w:t xml:space="preserve">Free cluster tier for database operations</w:t>
            </w:r>
          </w:p>
        </w:tc>
      </w:tr>
      <w:tr>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tcPr>
          <w:p>
            <w:r>
              <w:rPr>
                <w:rFonts w:ascii="Arial" w:cs="Arial" w:eastAsia="Arial" w:hAnsi="Arial"/>
                <w:b/>
                <w:bCs/>
                <w:color w:val="1A1A2E"/>
                <w:sz w:val="20"/>
                <w:szCs w:val="20"/>
              </w:rPr>
              <w:t xml:space="preserve">Google Gemini API</w:t>
            </w:r>
          </w:p>
        </w:tc>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tcPr>
          <w:p>
            <w:pPr>
              <w:jc w:val="center"/>
            </w:pPr>
            <w:r>
              <w:rPr>
                <w:rFonts w:ascii="Arial" w:cs="Arial" w:eastAsia="Arial" w:hAnsi="Arial"/>
                <w:b/>
                <w:bCs/>
                <w:color w:val="1A7A4A"/>
                <w:sz w:val="20"/>
                <w:szCs w:val="20"/>
              </w:rPr>
              <w:t xml:space="preserve">Free</w:t>
            </w:r>
          </w:p>
        </w:tc>
        <w:tc>
          <w:tcPr>
            <w:tcW w:type="dxa" w:w="468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tcPr>
          <w:p>
            <w:r>
              <w:rPr>
                <w:rFonts w:ascii="Arial" w:cs="Arial" w:eastAsia="Arial" w:hAnsi="Arial"/>
                <w:i/>
                <w:iCs/>
                <w:color w:val="444466"/>
                <w:sz w:val="19"/>
                <w:szCs w:val="19"/>
              </w:rPr>
              <w:t xml:space="preserve">Free tier limits for gemini-2.5-flash models</w:t>
            </w:r>
          </w:p>
        </w:tc>
      </w:tr>
      <w:tr>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tcPr>
          <w:p>
            <w:r>
              <w:rPr>
                <w:rFonts w:ascii="Arial" w:cs="Arial" w:eastAsia="Arial" w:hAnsi="Arial"/>
                <w:b/>
                <w:bCs/>
                <w:color w:val="1A1A2E"/>
                <w:sz w:val="20"/>
                <w:szCs w:val="20"/>
              </w:rPr>
              <w:t xml:space="preserve">Cloudinary</w:t>
            </w:r>
          </w:p>
        </w:tc>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tcPr>
          <w:p>
            <w:pPr>
              <w:jc w:val="center"/>
            </w:pPr>
            <w:r>
              <w:rPr>
                <w:rFonts w:ascii="Arial" w:cs="Arial" w:eastAsia="Arial" w:hAnsi="Arial"/>
                <w:b/>
                <w:bCs/>
                <w:color w:val="1A7A4A"/>
                <w:sz w:val="20"/>
                <w:szCs w:val="20"/>
              </w:rPr>
              <w:t xml:space="preserve">Free</w:t>
            </w:r>
          </w:p>
        </w:tc>
        <w:tc>
          <w:tcPr>
            <w:tcW w:type="dxa" w:w="468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tcPr>
          <w:p>
            <w:r>
              <w:rPr>
                <w:rFonts w:ascii="Arial" w:cs="Arial" w:eastAsia="Arial" w:hAnsi="Arial"/>
                <w:i/>
                <w:iCs/>
                <w:color w:val="444466"/>
                <w:sz w:val="19"/>
                <w:szCs w:val="19"/>
              </w:rPr>
              <w:t xml:space="preserve">Generous free tier for media storage and bandwidth</w:t>
            </w:r>
          </w:p>
        </w:tc>
      </w:tr>
      <w:tr>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tcPr>
          <w:p>
            <w:r>
              <w:rPr>
                <w:rFonts w:ascii="Arial" w:cs="Arial" w:eastAsia="Arial" w:hAnsi="Arial"/>
                <w:b/>
                <w:bCs/>
                <w:color w:val="1A1A2E"/>
                <w:sz w:val="20"/>
                <w:szCs w:val="20"/>
              </w:rPr>
              <w:t xml:space="preserve">SpeechAce</w:t>
            </w:r>
          </w:p>
        </w:tc>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tcPr>
          <w:p>
            <w:pPr>
              <w:jc w:val="center"/>
            </w:pPr>
            <w:r>
              <w:rPr>
                <w:rFonts w:ascii="Arial" w:cs="Arial" w:eastAsia="Arial" w:hAnsi="Arial"/>
                <w:b/>
                <w:bCs/>
                <w:color w:val="1A7A4A"/>
                <w:sz w:val="20"/>
                <w:szCs w:val="20"/>
              </w:rPr>
              <w:t xml:space="preserve">Free</w:t>
            </w:r>
          </w:p>
        </w:tc>
        <w:tc>
          <w:tcPr>
            <w:tcW w:type="dxa" w:w="468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tcPr>
          <w:p>
            <w:r>
              <w:rPr>
                <w:rFonts w:ascii="Arial" w:cs="Arial" w:eastAsia="Arial" w:hAnsi="Arial"/>
                <w:i/>
                <w:iCs/>
                <w:color w:val="444466"/>
                <w:sz w:val="19"/>
                <w:szCs w:val="19"/>
              </w:rPr>
              <w:t xml:space="preserve">Standard free credits / developer tier</w:t>
            </w:r>
          </w:p>
        </w:tc>
      </w:tr>
      <w:tr>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tcPr>
          <w:p>
            <w:r>
              <w:rPr>
                <w:rFonts w:ascii="Arial" w:cs="Arial" w:eastAsia="Arial" w:hAnsi="Arial"/>
                <w:b/>
                <w:bCs/>
                <w:color w:val="1A1A2E"/>
                <w:sz w:val="20"/>
                <w:szCs w:val="20"/>
              </w:rPr>
              <w:t xml:space="preserve">Better Auth</w:t>
            </w:r>
          </w:p>
        </w:tc>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tcPr>
          <w:p>
            <w:pPr>
              <w:jc w:val="center"/>
            </w:pPr>
            <w:r>
              <w:rPr>
                <w:rFonts w:ascii="Arial" w:cs="Arial" w:eastAsia="Arial" w:hAnsi="Arial"/>
                <w:b/>
                <w:bCs/>
                <w:color w:val="1A7A4A"/>
                <w:sz w:val="20"/>
                <w:szCs w:val="20"/>
              </w:rPr>
              <w:t xml:space="preserve">Free</w:t>
            </w:r>
          </w:p>
        </w:tc>
        <w:tc>
          <w:tcPr>
            <w:tcW w:type="dxa" w:w="468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tcPr>
          <w:p>
            <w:r>
              <w:rPr>
                <w:rFonts w:ascii="Arial" w:cs="Arial" w:eastAsia="Arial" w:hAnsi="Arial"/>
                <w:i/>
                <w:iCs/>
                <w:color w:val="444466"/>
                <w:sz w:val="19"/>
                <w:szCs w:val="19"/>
              </w:rPr>
              <w:t xml:space="preserve">Open-source, self-hosted within Vercel compute</w:t>
            </w:r>
          </w:p>
        </w:tc>
      </w:tr>
      <w:tr>
        <w:tc>
          <w:tcPr>
            <w:tcW w:type="dxa" w:w="2340"/>
            <w:tcBorders>
              <w:top w:val="single" w:color="D6E4F0" w:sz="1"/>
              <w:left w:val="single" w:color="D6E4F0" w:sz="1"/>
              <w:bottom w:val="single" w:color="D6E4F0" w:sz="1"/>
              <w:right w:val="single" w:color="D6E4F0" w:sz="1"/>
            </w:tcBorders>
            <w:shd w:fill="FDE8E8" w:val="clear"/>
            <w:tcMar>
              <w:top w:type="dxa" w:w="100"/>
              <w:left w:type="dxa" w:w="160"/>
              <w:bottom w:type="dxa" w:w="100"/>
              <w:right w:type="dxa" w:w="160"/>
            </w:tcMar>
          </w:tcPr>
          <w:p>
            <w:r>
              <w:rPr>
                <w:rFonts w:ascii="Arial" w:cs="Arial" w:eastAsia="Arial" w:hAnsi="Arial"/>
                <w:b/>
                <w:bCs/>
                <w:color w:val="1A1A2E"/>
                <w:sz w:val="20"/>
                <w:szCs w:val="20"/>
              </w:rPr>
              <w:t xml:space="preserve">ElevenLabs</w:t>
            </w:r>
          </w:p>
        </w:tc>
        <w:tc>
          <w:tcPr>
            <w:tcW w:type="dxa" w:w="2340"/>
            <w:tcBorders>
              <w:top w:val="single" w:color="D6E4F0" w:sz="1"/>
              <w:left w:val="single" w:color="D6E4F0" w:sz="1"/>
              <w:bottom w:val="single" w:color="D6E4F0" w:sz="1"/>
              <w:right w:val="single" w:color="D6E4F0" w:sz="1"/>
            </w:tcBorders>
            <w:shd w:fill="FDE8E8" w:val="clear"/>
            <w:tcMar>
              <w:top w:type="dxa" w:w="100"/>
              <w:left w:type="dxa" w:w="160"/>
              <w:bottom w:type="dxa" w:w="100"/>
              <w:right w:type="dxa" w:w="160"/>
            </w:tcMar>
          </w:tcPr>
          <w:p>
            <w:pPr>
              <w:jc w:val="center"/>
            </w:pPr>
            <w:r>
              <w:rPr>
                <w:rFonts w:ascii="Arial" w:cs="Arial" w:eastAsia="Arial" w:hAnsi="Arial"/>
                <w:b/>
                <w:bCs/>
                <w:color w:val="9B1C1C"/>
                <w:sz w:val="20"/>
                <w:szCs w:val="20"/>
              </w:rPr>
              <w:t xml:space="preserve">PAID</w:t>
            </w:r>
          </w:p>
        </w:tc>
        <w:tc>
          <w:tcPr>
            <w:tcW w:type="dxa" w:w="468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tcPr>
          <w:p>
            <w:r>
              <w:rPr>
                <w:rFonts w:ascii="Arial" w:cs="Arial" w:eastAsia="Arial" w:hAnsi="Arial"/>
                <w:i/>
                <w:iCs/>
                <w:color w:val="444466"/>
                <w:sz w:val="19"/>
                <w:szCs w:val="19"/>
              </w:rPr>
              <w:t xml:space="preserve">Only active paid service — premium AI voice generation</w:t>
            </w:r>
          </w:p>
        </w:tc>
      </w:tr>
      <w:tr>
        <w:tc>
          <w:tcPr>
            <w:tcW w:type="dxa" w:w="2340"/>
            <w:tcBorders>
              <w:top w:val="single" w:color="D6E4F0" w:sz="1"/>
              <w:left w:val="single" w:color="D6E4F0" w:sz="1"/>
              <w:bottom w:val="single" w:color="D6E4F0" w:sz="1"/>
              <w:right w:val="single" w:color="D6E4F0" w:sz="1"/>
            </w:tcBorders>
            <w:shd w:fill="FDE8E8" w:val="clear"/>
            <w:tcMar>
              <w:top w:type="dxa" w:w="100"/>
              <w:left w:type="dxa" w:w="160"/>
              <w:bottom w:type="dxa" w:w="100"/>
              <w:right w:type="dxa" w:w="160"/>
            </w:tcMar>
          </w:tcPr>
          <w:p>
            <w:r>
              <w:rPr>
                <w:rFonts w:ascii="Arial" w:cs="Arial" w:eastAsia="Arial" w:hAnsi="Arial"/>
                <w:b/>
                <w:bCs/>
                <w:color w:val="1A1A2E"/>
                <w:sz w:val="20"/>
                <w:szCs w:val="20"/>
              </w:rPr>
              <w:t xml:space="preserve">GoDaddy</w:t>
            </w:r>
          </w:p>
        </w:tc>
        <w:tc>
          <w:tcPr>
            <w:tcW w:type="dxa" w:w="2340"/>
            <w:tcBorders>
              <w:top w:val="single" w:color="D6E4F0" w:sz="1"/>
              <w:left w:val="single" w:color="D6E4F0" w:sz="1"/>
              <w:bottom w:val="single" w:color="D6E4F0" w:sz="1"/>
              <w:right w:val="single" w:color="D6E4F0" w:sz="1"/>
            </w:tcBorders>
            <w:shd w:fill="FDE8E8" w:val="clear"/>
            <w:tcMar>
              <w:top w:type="dxa" w:w="100"/>
              <w:left w:type="dxa" w:w="160"/>
              <w:bottom w:type="dxa" w:w="100"/>
              <w:right w:type="dxa" w:w="160"/>
            </w:tcMar>
          </w:tcPr>
          <w:p>
            <w:pPr>
              <w:jc w:val="center"/>
            </w:pPr>
            <w:r>
              <w:rPr>
                <w:rFonts w:ascii="Arial" w:cs="Arial" w:eastAsia="Arial" w:hAnsi="Arial"/>
                <w:b/>
                <w:bCs/>
                <w:color w:val="9B1C1C"/>
                <w:sz w:val="20"/>
                <w:szCs w:val="20"/>
              </w:rPr>
              <w:t xml:space="preserve">PAID</w:t>
            </w:r>
          </w:p>
        </w:tc>
        <w:tc>
          <w:tcPr>
            <w:tcW w:type="dxa" w:w="468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tcPr>
          <w:p>
            <w:r>
              <w:rPr>
                <w:rFonts w:ascii="Arial" w:cs="Arial" w:eastAsia="Arial" w:hAnsi="Arial"/>
                <w:i/>
                <w:iCs/>
                <w:color w:val="444466"/>
                <w:sz w:val="19"/>
                <w:szCs w:val="19"/>
              </w:rPr>
              <w:t xml:space="preserve">Annual domain registration and DNS management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6"/>
              <w:left w:val="single" w:color="B85C00" w:sz="12"/>
              <w:bottom w:val="single" w:color="CCCCCC" w:sz="1"/>
              <w:right w:val="single" w:color="CCCCCC" w:sz="1"/>
            </w:tcBorders>
            <w:shd w:fill="FFF3CD" w:val="clear"/>
            <w:tcMar>
              <w:top w:type="dxa" w:w="120"/>
              <w:left w:type="dxa" w:w="200"/>
              <w:bottom w:type="dxa" w:w="120"/>
              <w:right w:type="dxa" w:w="160"/>
            </w:tcMar>
          </w:tcPr>
          <w:p>
            <w:pPr>
              <w:spacing w:before="0" w:after="0"/>
            </w:pPr>
            <w:r>
              <w:rPr>
                <w:rFonts w:ascii="Arial" w:cs="Arial" w:eastAsia="Arial" w:hAnsi="Arial"/>
                <w:b/>
                <w:bCs/>
                <w:color w:val="B85C00"/>
                <w:sz w:val="20"/>
                <w:szCs w:val="20"/>
              </w:rPr>
              <w:t xml:space="preserve">Cost summary:  </w:t>
            </w:r>
            <w:r>
              <w:rPr>
                <w:rFonts w:ascii="Arial" w:cs="Arial" w:eastAsia="Arial" w:hAnsi="Arial"/>
                <w:color w:val="1A1A2E"/>
                <w:sz w:val="20"/>
                <w:szCs w:val="20"/>
              </w:rPr>
              <w:t xml:space="preserve">6 of 8 services currently operate on free tiers. ElevenLabs is the sole recurring cloud expense, driven by the premium voice quality required at scale. GoDaddy represents an annual fixed cost for domain management.</w:t>
            </w:r>
          </w:p>
        </w:tc>
      </w:tr>
    </w:tbl>
    <w:p>
      <w:pPr>
        <w:spacing w:before="120" w:after="0"/>
      </w:pPr>
      <w:r>
        <w:t xml:space="preserve"/>
      </w:r>
    </w:p>
    <w:p>
      <w:pPr>
        <w:pStyle w:val="Heading2"/>
        <w:spacing w:before="320" w:after="120"/>
      </w:pPr>
      <w:r>
        <w:rPr>
          <w:rFonts w:ascii="Arial" w:cs="Arial" w:eastAsia="Arial" w:hAnsi="Arial"/>
          <w:b/>
          <w:bCs/>
          <w:color w:val="1E3A5F"/>
        </w:rPr>
        <w:t xml:space="preserve">2.2  User Subscription Tiers (Revenue Model)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E3A5F"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Feature</w:t>
            </w:r>
          </w:p>
        </w:tc>
        <w:tc>
          <w:tcPr>
            <w:tcW w:type="dxa" w:w="2340"/>
            <w:tcBorders>
              <w:top w:val="single" w:color="FFFFFF" w:sz="1"/>
              <w:left w:val="single" w:color="FFFFFF" w:sz="1"/>
              <w:bottom w:val="single" w:color="FFFFFF" w:sz="1"/>
              <w:right w:val="single" w:color="FFFFFF" w:sz="1"/>
            </w:tcBorders>
            <w:shd w:fill="1E3A5F"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Freemium</w:t>
            </w:r>
          </w:p>
        </w:tc>
        <w:tc>
          <w:tcPr>
            <w:tcW w:type="dxa" w:w="2340"/>
            <w:tcBorders>
              <w:top w:val="single" w:color="FFFFFF" w:sz="1"/>
              <w:left w:val="single" w:color="FFFFFF" w:sz="1"/>
              <w:bottom w:val="single" w:color="FFFFFF" w:sz="1"/>
              <w:right w:val="single" w:color="FFFFFF" w:sz="1"/>
            </w:tcBorders>
            <w:shd w:fill="1E3A5F"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Premium  ★</w:t>
            </w:r>
          </w:p>
        </w:tc>
        <w:tc>
          <w:tcPr>
            <w:tcW w:type="dxa" w:w="2340"/>
            <w:tcBorders>
              <w:top w:val="single" w:color="FFFFFF" w:sz="1"/>
              <w:left w:val="single" w:color="FFFFFF" w:sz="1"/>
              <w:bottom w:val="single" w:color="FFFFFF" w:sz="1"/>
              <w:right w:val="single" w:color="FFFFFF" w:sz="1"/>
            </w:tcBorders>
            <w:shd w:fill="1E3A5F"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Pro</w:t>
            </w:r>
          </w:p>
        </w:tc>
      </w:tr>
      <w:tr>
        <w:tc>
          <w:tcPr>
            <w:tcW w:type="dxa" w:w="2340"/>
            <w:tcBorders>
              <w:top w:val="single" w:color="D6E4F0" w:sz="1"/>
              <w:left w:val="single" w:color="D6E4F0" w:sz="1"/>
              <w:bottom w:val="single" w:color="D6E4F0" w:sz="1"/>
              <w:right w:val="single" w:color="D6E4F0" w:sz="1"/>
            </w:tcBorders>
            <w:shd w:fill="F4F6F9" w:val="clear"/>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Monthly Price</w:t>
            </w:r>
          </w:p>
        </w:tc>
        <w:tc>
          <w:tcPr>
            <w:tcW w:type="dxa" w:w="2340"/>
            <w:tcBorders>
              <w:top w:val="single" w:color="D6E4F0" w:sz="1"/>
              <w:left w:val="single" w:color="D6E4F0" w:sz="1"/>
              <w:bottom w:val="single" w:color="D6E4F0" w:sz="1"/>
              <w:right w:val="single" w:color="D6E4F0" w:sz="1"/>
            </w:tcBorders>
            <w:shd w:fill="D4EDDA" w:val="clear"/>
            <w:tcMar>
              <w:top w:type="dxa" w:w="100"/>
              <w:left w:type="dxa" w:w="160"/>
              <w:bottom w:type="dxa" w:w="100"/>
              <w:right w:type="dxa" w:w="160"/>
            </w:tcMar>
            <w:vAlign w:val="center"/>
          </w:tcPr>
          <w:p>
            <w:pPr>
              <w:jc w:val="center"/>
            </w:pPr>
            <w:r>
              <w:rPr>
                <w:rFonts w:ascii="Arial" w:cs="Arial" w:eastAsia="Arial" w:hAnsi="Arial"/>
                <w:b/>
                <w:bCs/>
                <w:color w:val="1A7A4A"/>
                <w:sz w:val="20"/>
                <w:szCs w:val="20"/>
              </w:rPr>
              <w:t xml:space="preserve">Free</w:t>
            </w:r>
          </w:p>
        </w:tc>
        <w:tc>
          <w:tcPr>
            <w:tcW w:type="dxa" w:w="2340"/>
            <w:tcBorders>
              <w:top w:val="single" w:color="D6E4F0" w:sz="1"/>
              <w:left w:val="single" w:color="D6E4F0" w:sz="1"/>
              <w:bottom w:val="single" w:color="D6E4F0" w:sz="1"/>
              <w:right w:val="single" w:color="D6E4F0"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2E6DA4"/>
                <w:sz w:val="20"/>
                <w:szCs w:val="20"/>
              </w:rPr>
              <w:t xml:space="preserve">$9.99</w:t>
            </w:r>
          </w:p>
        </w:tc>
        <w:tc>
          <w:tcPr>
            <w:tcW w:type="dxa" w:w="2340"/>
            <w:tcBorders>
              <w:top w:val="single" w:color="D6E4F0" w:sz="1"/>
              <w:left w:val="single" w:color="D6E4F0" w:sz="1"/>
              <w:bottom w:val="single" w:color="D6E4F0" w:sz="1"/>
              <w:right w:val="single" w:color="D6E4F0" w:sz="1"/>
            </w:tcBorders>
            <w:shd w:fill="EDE0FA" w:val="clear"/>
            <w:tcMar>
              <w:top w:type="dxa" w:w="100"/>
              <w:left w:type="dxa" w:w="160"/>
              <w:bottom w:type="dxa" w:w="100"/>
              <w:right w:type="dxa" w:w="160"/>
            </w:tcMar>
            <w:vAlign w:val="center"/>
          </w:tcPr>
          <w:p>
            <w:pPr>
              <w:jc w:val="center"/>
            </w:pPr>
            <w:r>
              <w:rPr>
                <w:rFonts w:ascii="Arial" w:cs="Arial" w:eastAsia="Arial" w:hAnsi="Arial"/>
                <w:b/>
                <w:bCs/>
                <w:color w:val="5B2D8E"/>
                <w:sz w:val="20"/>
                <w:szCs w:val="20"/>
              </w:rPr>
              <w:t xml:space="preserve">$19.99</w:t>
            </w:r>
          </w:p>
        </w:tc>
      </w:tr>
      <w:tr>
        <w:tc>
          <w:tcPr>
            <w:tcW w:type="dxa" w:w="2340"/>
            <w:tcBorders>
              <w:top w:val="single" w:color="D6E4F0" w:sz="1"/>
              <w:left w:val="single" w:color="D6E4F0" w:sz="1"/>
              <w:bottom w:val="single" w:color="D6E4F0" w:sz="1"/>
              <w:right w:val="single" w:color="D6E4F0" w:sz="1"/>
            </w:tcBorders>
            <w:shd w:fill="F4F6F9" w:val="clear"/>
            <w:tcMar>
              <w:top w:type="dxa" w:w="100"/>
              <w:left w:type="dxa" w:w="160"/>
              <w:bottom w:type="dxa" w:w="100"/>
              <w:right w:type="dxa" w:w="160"/>
            </w:tcMar>
            <w:vAlign w:val="center"/>
          </w:tcPr>
          <w:p>
            <w:pPr>
              <w:jc w:val="center"/>
            </w:pPr>
            <w:r>
              <w:rPr>
                <w:rFonts w:ascii="Arial" w:cs="Arial" w:eastAsia="Arial" w:hAnsi="Arial"/>
                <w:b/>
                <w:bCs/>
                <w:color w:val="444466"/>
                <w:sz w:val="20"/>
                <w:szCs w:val="20"/>
              </w:rPr>
              <w:t xml:space="preserve">AI Conversations</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B85C00"/>
                <w:sz w:val="20"/>
                <w:szCs w:val="20"/>
              </w:rPr>
              <w:t xml:space="preserve">5/day cap</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A7A4A"/>
                <w:sz w:val="20"/>
                <w:szCs w:val="20"/>
              </w:rPr>
              <w:t xml:space="preserve">Unlimited</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A7A4A"/>
                <w:sz w:val="20"/>
                <w:szCs w:val="20"/>
              </w:rPr>
              <w:t xml:space="preserve">Unlimited</w:t>
            </w:r>
          </w:p>
        </w:tc>
      </w:tr>
      <w:tr>
        <w:tc>
          <w:tcPr>
            <w:tcW w:type="dxa" w:w="2340"/>
            <w:tcBorders>
              <w:top w:val="single" w:color="D6E4F0" w:sz="1"/>
              <w:left w:val="single" w:color="D6E4F0" w:sz="1"/>
              <w:bottom w:val="single" w:color="D6E4F0" w:sz="1"/>
              <w:right w:val="single" w:color="D6E4F0" w:sz="1"/>
            </w:tcBorders>
            <w:shd w:fill="F4F6F9" w:val="clear"/>
            <w:tcMar>
              <w:top w:type="dxa" w:w="100"/>
              <w:left w:type="dxa" w:w="160"/>
              <w:bottom w:type="dxa" w:w="100"/>
              <w:right w:type="dxa" w:w="160"/>
            </w:tcMar>
            <w:vAlign w:val="center"/>
          </w:tcPr>
          <w:p>
            <w:pPr>
              <w:jc w:val="center"/>
            </w:pPr>
            <w:r>
              <w:rPr>
                <w:rFonts w:ascii="Arial" w:cs="Arial" w:eastAsia="Arial" w:hAnsi="Arial"/>
                <w:b/>
                <w:bCs/>
                <w:color w:val="444466"/>
                <w:sz w:val="20"/>
                <w:szCs w:val="20"/>
              </w:rPr>
              <w:t xml:space="preserve">Pronunciation Practice</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Standard</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A7A4A"/>
                <w:sz w:val="20"/>
                <w:szCs w:val="20"/>
              </w:rPr>
              <w:t xml:space="preserve">Unlimited</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A7A4A"/>
                <w:sz w:val="20"/>
                <w:szCs w:val="20"/>
              </w:rPr>
              <w:t xml:space="preserve">Unlimited</w:t>
            </w:r>
          </w:p>
        </w:tc>
      </w:tr>
      <w:tr>
        <w:tc>
          <w:tcPr>
            <w:tcW w:type="dxa" w:w="2340"/>
            <w:tcBorders>
              <w:top w:val="single" w:color="D6E4F0" w:sz="1"/>
              <w:left w:val="single" w:color="D6E4F0" w:sz="1"/>
              <w:bottom w:val="single" w:color="D6E4F0" w:sz="1"/>
              <w:right w:val="single" w:color="D6E4F0" w:sz="1"/>
            </w:tcBorders>
            <w:shd w:fill="F4F6F9" w:val="clear"/>
            <w:tcMar>
              <w:top w:type="dxa" w:w="100"/>
              <w:left w:type="dxa" w:w="160"/>
              <w:bottom w:type="dxa" w:w="100"/>
              <w:right w:type="dxa" w:w="160"/>
            </w:tcMar>
            <w:vAlign w:val="center"/>
          </w:tcPr>
          <w:p>
            <w:pPr>
              <w:jc w:val="center"/>
            </w:pPr>
            <w:r>
              <w:rPr>
                <w:rFonts w:ascii="Arial" w:cs="Arial" w:eastAsia="Arial" w:hAnsi="Arial"/>
                <w:b/>
                <w:bCs/>
                <w:color w:val="444466"/>
                <w:sz w:val="20"/>
                <w:szCs w:val="20"/>
              </w:rPr>
              <w:t xml:space="preserve">AI Learning Paths</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CC0000"/>
                <w:sz w:val="20"/>
                <w:szCs w:val="20"/>
              </w:rPr>
              <w:t xml:space="preserve">✗</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A7A4A"/>
                <w:sz w:val="20"/>
                <w:szCs w:val="20"/>
              </w:rPr>
              <w:t xml:space="preserve">Personalised</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A7A4A"/>
                <w:sz w:val="20"/>
                <w:szCs w:val="20"/>
              </w:rPr>
              <w:t xml:space="preserve">Personalised</w:t>
            </w:r>
          </w:p>
        </w:tc>
      </w:tr>
      <w:tr>
        <w:tc>
          <w:tcPr>
            <w:tcW w:type="dxa" w:w="2340"/>
            <w:tcBorders>
              <w:top w:val="single" w:color="D6E4F0" w:sz="1"/>
              <w:left w:val="single" w:color="D6E4F0" w:sz="1"/>
              <w:bottom w:val="single" w:color="D6E4F0" w:sz="1"/>
              <w:right w:val="single" w:color="D6E4F0" w:sz="1"/>
            </w:tcBorders>
            <w:shd w:fill="F4F6F9" w:val="clear"/>
            <w:tcMar>
              <w:top w:type="dxa" w:w="100"/>
              <w:left w:type="dxa" w:w="160"/>
              <w:bottom w:type="dxa" w:w="100"/>
              <w:right w:type="dxa" w:w="160"/>
            </w:tcMar>
            <w:vAlign w:val="center"/>
          </w:tcPr>
          <w:p>
            <w:pPr>
              <w:jc w:val="center"/>
            </w:pPr>
            <w:r>
              <w:rPr>
                <w:rFonts w:ascii="Arial" w:cs="Arial" w:eastAsia="Arial" w:hAnsi="Arial"/>
                <w:b/>
                <w:bCs/>
                <w:color w:val="444466"/>
                <w:sz w:val="20"/>
                <w:szCs w:val="20"/>
              </w:rPr>
              <w:t xml:space="preserve">1-on-1 Live Tutoring</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CC0000"/>
                <w:sz w:val="20"/>
                <w:szCs w:val="20"/>
              </w:rPr>
              <w:t xml:space="preserve">✗</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CC0000"/>
                <w:sz w:val="20"/>
                <w:szCs w:val="20"/>
              </w:rPr>
              <w:t xml:space="preserve">✗</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A7A4A"/>
                <w:sz w:val="20"/>
                <w:szCs w:val="20"/>
              </w:rPr>
              <w:t xml:space="preserve">✓</w:t>
            </w:r>
          </w:p>
        </w:tc>
      </w:tr>
      <w:tr>
        <w:tc>
          <w:tcPr>
            <w:tcW w:type="dxa" w:w="2340"/>
            <w:tcBorders>
              <w:top w:val="single" w:color="D6E4F0" w:sz="1"/>
              <w:left w:val="single" w:color="D6E4F0" w:sz="1"/>
              <w:bottom w:val="single" w:color="D6E4F0" w:sz="1"/>
              <w:right w:val="single" w:color="D6E4F0" w:sz="1"/>
            </w:tcBorders>
            <w:shd w:fill="F4F6F9" w:val="clear"/>
            <w:tcMar>
              <w:top w:type="dxa" w:w="100"/>
              <w:left w:type="dxa" w:w="160"/>
              <w:bottom w:type="dxa" w:w="100"/>
              <w:right w:type="dxa" w:w="160"/>
            </w:tcMar>
            <w:vAlign w:val="center"/>
          </w:tcPr>
          <w:p>
            <w:pPr>
              <w:jc w:val="center"/>
            </w:pPr>
            <w:r>
              <w:rPr>
                <w:rFonts w:ascii="Arial" w:cs="Arial" w:eastAsia="Arial" w:hAnsi="Arial"/>
                <w:b/>
                <w:bCs/>
                <w:color w:val="444466"/>
                <w:sz w:val="20"/>
                <w:szCs w:val="20"/>
              </w:rPr>
              <w:t xml:space="preserve">Granular Speech Analysis</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CC0000"/>
                <w:sz w:val="20"/>
                <w:szCs w:val="20"/>
              </w:rPr>
              <w:t xml:space="preserve">✗</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CC0000"/>
                <w:sz w:val="20"/>
                <w:szCs w:val="20"/>
              </w:rPr>
              <w:t xml:space="preserve">✗</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A7A4A"/>
                <w:sz w:val="20"/>
                <w:szCs w:val="20"/>
              </w:rPr>
              <w:t xml:space="preserve">✓</w:t>
            </w:r>
          </w:p>
        </w:tc>
      </w:tr>
      <w:tr>
        <w:tc>
          <w:tcPr>
            <w:tcW w:type="dxa" w:w="2340"/>
            <w:tcBorders>
              <w:top w:val="single" w:color="D6E4F0" w:sz="1"/>
              <w:left w:val="single" w:color="D6E4F0" w:sz="1"/>
              <w:bottom w:val="single" w:color="D6E4F0" w:sz="1"/>
              <w:right w:val="single" w:color="D6E4F0" w:sz="1"/>
            </w:tcBorders>
            <w:shd w:fill="F4F6F9" w:val="clear"/>
            <w:tcMar>
              <w:top w:type="dxa" w:w="100"/>
              <w:left w:type="dxa" w:w="160"/>
              <w:bottom w:type="dxa" w:w="100"/>
              <w:right w:type="dxa" w:w="160"/>
            </w:tcMar>
            <w:vAlign w:val="center"/>
          </w:tcPr>
          <w:p>
            <w:pPr>
              <w:jc w:val="center"/>
            </w:pPr>
            <w:r>
              <w:rPr>
                <w:rFonts w:ascii="Arial" w:cs="Arial" w:eastAsia="Arial" w:hAnsi="Arial"/>
                <w:b/>
                <w:bCs/>
                <w:color w:val="444466"/>
                <w:sz w:val="20"/>
                <w:szCs w:val="20"/>
              </w:rPr>
              <w:t xml:space="preserve">Certificate of Completion</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CC0000"/>
                <w:sz w:val="20"/>
                <w:szCs w:val="20"/>
              </w:rPr>
              <w:t xml:space="preserve">✗</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CC0000"/>
                <w:sz w:val="20"/>
                <w:szCs w:val="20"/>
              </w:rPr>
              <w:t xml:space="preserve">✗</w:t>
            </w:r>
          </w:p>
        </w:tc>
        <w:tc>
          <w:tcPr>
            <w:tcW w:type="dxa" w:w="2340"/>
            <w:tcBorders>
              <w:top w:val="single" w:color="D6E4F0" w:sz="1"/>
              <w:left w:val="single" w:color="D6E4F0" w:sz="1"/>
              <w:bottom w:val="single" w:color="D6E4F0" w:sz="1"/>
              <w:right w:val="single" w:color="D6E4F0"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A7A4A"/>
                <w:sz w:val="20"/>
                <w:szCs w:val="20"/>
              </w:rPr>
              <w:t xml:space="preserv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CCCCCC" w:sz="1"/>
              <w:right w:val="single" w:color="CCCCCC" w:sz="1"/>
            </w:tcBorders>
            <w:shd w:fill="D6E4F0" w:val="clear"/>
            <w:tcMar>
              <w:top w:type="dxa" w:w="120"/>
              <w:left w:type="dxa" w:w="200"/>
              <w:bottom w:type="dxa" w:w="120"/>
              <w:right w:type="dxa" w:w="160"/>
            </w:tcMar>
          </w:tcPr>
          <w:p>
            <w:pPr>
              <w:spacing w:before="0" w:after="0"/>
            </w:pPr>
            <w:r>
              <w:rPr>
                <w:rFonts w:ascii="Arial" w:cs="Arial" w:eastAsia="Arial" w:hAnsi="Arial"/>
                <w:b/>
                <w:bCs/>
                <w:color w:val="2E6DA4"/>
                <w:sz w:val="20"/>
                <w:szCs w:val="20"/>
              </w:rPr>
              <w:t xml:space="preserve">Revenue note:  </w:t>
            </w:r>
            <w:r>
              <w:rPr>
                <w:rFonts w:ascii="Arial" w:cs="Arial" w:eastAsia="Arial" w:hAnsi="Arial"/>
                <w:color w:val="1A1A2E"/>
                <w:sz w:val="20"/>
                <w:szCs w:val="20"/>
              </w:rPr>
              <w:t xml:space="preserve">The freemium tier drives acquisition. Premium converts dedicated learners with unlimited AI and personalised paths. Pro targets professionals requiring certification and human tutoring.</w:t>
            </w:r>
          </w:p>
        </w:tc>
      </w:tr>
    </w:tbl>
    <w:p>
      <w:pPr>
        <w:pBdr>
          <w:bottom w:val="single" w:color="D6E4F0" w:sz="2" w:space="1"/>
        </w:pBdr>
        <w:spacing w:before="200" w:after="200"/>
      </w:pPr>
      <w:r>
        <w:t xml:space="preserve"/>
      </w:r>
    </w:p>
    <w:p>
      <w:pPr>
        <w:pStyle w:val="Heading1"/>
        <w:pBdr>
          <w:bottom w:val="single" w:color="2E6DA4" w:sz="8" w:space="4"/>
        </w:pBdr>
        <w:spacing w:before="480" w:after="160"/>
      </w:pPr>
      <w:r>
        <w:rPr>
          <w:rFonts w:ascii="Arial" w:cs="Arial" w:eastAsia="Arial" w:hAnsi="Arial"/>
          <w:b/>
          <w:bCs/>
        </w:rPr>
        <w:t xml:space="preserve">3. Detailed Application Flows</w:t>
      </w:r>
    </w:p>
    <w:p>
      <w:pPr>
        <w:spacing w:before="80" w:after="80"/>
      </w:pPr>
      <w:r>
        <w:rPr>
          <w:rFonts w:ascii="Arial" w:cs="Arial" w:eastAsia="Arial" w:hAnsi="Arial"/>
          <w:color w:val="444466"/>
          <w:sz w:val="22"/>
          <w:szCs w:val="22"/>
        </w:rPr>
        <w:t xml:space="preserve">This section documents the three core operational flows that drive the Elkan learning experience: how users are authenticated and onboarded, how a live drill session is executed, and how analytics feed back into adaptive learning.</w:t>
      </w:r>
    </w:p>
    <w:p>
      <w:pPr>
        <w:spacing w:before="120" w:after="0"/>
      </w:pPr>
      <w:r>
        <w:t xml:space="preserve"/>
      </w:r>
    </w:p>
    <w:p>
      <w:pPr>
        <w:pStyle w:val="Heading2"/>
        <w:spacing w:before="320" w:after="120"/>
      </w:pPr>
      <w:r>
        <w:rPr>
          <w:rFonts w:ascii="Arial" w:cs="Arial" w:eastAsia="Arial" w:hAnsi="Arial"/>
          <w:b/>
          <w:bCs/>
          <w:color w:val="1E3A5F"/>
        </w:rPr>
        <w:t xml:space="preserve">3.1  Flow 1: Authentication → Profile Setup → Core Connections</w:t>
      </w:r>
    </w:p>
    <w:p>
      <w:pPr>
        <w:spacing w:before="80" w:after="80"/>
      </w:pPr>
      <w:r>
        <w:rPr>
          <w:rFonts w:ascii="Arial" w:cs="Arial" w:eastAsia="Arial" w:hAnsi="Arial"/>
          <w:color w:val="444466"/>
          <w:sz w:val="22"/>
          <w:szCs w:val="22"/>
        </w:rPr>
        <w:t xml:space="preserve">This flow details how a user enters the application and how their account connects to the various educational engines. New users are directed through onboarding; returning users are routed directly to their dashboard.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D6E4F0" w:sz="1"/>
              <w:bottom w:val="single" w:color="D6E4F0" w:sz="1"/>
              <w:right w:val="single" w:color="D6E4F0" w:sz="1"/>
            </w:tcBorders>
            <w:shd w:fill="F4F6F9" w:val="clear"/>
            <w:tcMar>
              <w:top w:type="dxa" w:w="200"/>
              <w:left w:type="dxa" w:w="280"/>
              <w:bottom w:type="dxa" w:w="200"/>
              <w:right w:type="dxa" w:w="280"/>
            </w:tcMar>
          </w:tcPr>
          <w:p>
            <w:pPr>
              <w:spacing w:before="0" w:after="120"/>
            </w:pPr>
            <w:r>
              <w:rPr>
                <w:rFonts w:ascii="Arial" w:cs="Arial" w:eastAsia="Arial" w:hAnsi="Arial"/>
                <w:b/>
                <w:bCs/>
                <w:color w:val="1E3A5F"/>
                <w:sz w:val="22"/>
                <w:szCs w:val="22"/>
              </w:rPr>
              <w:t xml:space="preserve">Authentication &amp; Onboarding Flow</w:t>
            </w:r>
          </w:p>
          <w:p>
            <w:pPr>
              <w:spacing w:before="60" w:after="60"/>
            </w:pPr>
            <w:r>
              <w:rPr>
                <w:rFonts w:ascii="Arial" w:cs="Arial" w:eastAsia="Arial" w:hAnsi="Arial"/>
                <w:b/>
                <w:bCs/>
                <w:color w:val="2E6DA4"/>
                <w:sz w:val="20"/>
                <w:szCs w:val="20"/>
              </w:rPr>
              <w:t xml:space="preserve">Stage 1 — Authentication</w:t>
            </w:r>
          </w:p>
          <w:p>
            <w:pPr>
              <w:spacing w:before="30" w:after="20"/>
            </w:pPr>
            <w:r>
              <w:rPr>
                <w:rFonts w:ascii="Arial" w:cs="Arial" w:eastAsia="Arial" w:hAnsi="Arial"/>
                <w:color w:val="1A1A2E"/>
                <w:sz w:val="20"/>
                <w:szCs w:val="20"/>
              </w:rPr>
              <w:t xml:space="preserve">1.  User opens app and selects auth method (OAuth or Email/Password)</w:t>
            </w:r>
          </w:p>
          <w:p>
            <w:pPr>
              <w:spacing w:before="0" w:after="20"/>
            </w:pPr>
            <w:r>
              <w:rPr>
                <w:rFonts w:ascii="Arial" w:cs="Arial" w:eastAsia="Arial" w:hAnsi="Arial"/>
                <w:i/>
                <w:iCs/>
                <w:color w:val="444466"/>
                <w:sz w:val="18"/>
                <w:szCs w:val="18"/>
              </w:rPr>
              <w:t xml:space="preserve">        ↓  OAuth path: Google / Apple SSO handshake</w:t>
            </w:r>
          </w:p>
          <w:p>
            <w:pPr>
              <w:spacing w:before="0" w:after="30"/>
            </w:pPr>
            <w:r>
              <w:rPr>
                <w:rFonts w:ascii="Arial" w:cs="Arial" w:eastAsia="Arial" w:hAnsi="Arial"/>
                <w:i/>
                <w:iCs/>
                <w:color w:val="444466"/>
                <w:sz w:val="18"/>
                <w:szCs w:val="18"/>
              </w:rPr>
              <w:t xml:space="preserve">        ↓  Email path: Better Auth local credential validation</w:t>
            </w:r>
          </w:p>
          <w:p>
            <w:pPr>
              <w:spacing w:before="30" w:after="20"/>
            </w:pPr>
            <w:r>
              <w:rPr>
                <w:rFonts w:ascii="Arial" w:cs="Arial" w:eastAsia="Arial" w:hAnsi="Arial"/>
                <w:color w:val="1A1A2E"/>
                <w:sz w:val="20"/>
                <w:szCs w:val="20"/>
              </w:rPr>
              <w:t xml:space="preserve">2.  Better Auth server validates the credential / token</w:t>
            </w:r>
          </w:p>
          <w:p>
            <w:pPr>
              <w:spacing w:before="0" w:after="40"/>
            </w:pPr>
            <w:r>
              <w:rPr>
                <w:rFonts w:ascii="Arial" w:cs="Arial" w:eastAsia="Arial" w:hAnsi="Arial"/>
                <w:i/>
                <w:iCs/>
                <w:color w:val="444466"/>
                <w:sz w:val="18"/>
                <w:szCs w:val="18"/>
              </w:rPr>
              <w:t xml:space="preserve">        ↓  Checks MongoDB: does this user already exist?</w:t>
            </w:r>
          </w:p>
          <w:p>
            <w:pPr>
              <w:spacing w:before="60" w:after="60"/>
            </w:pPr>
            <w:r>
              <w:rPr>
                <w:rFonts w:ascii="Arial" w:cs="Arial" w:eastAsia="Arial" w:hAnsi="Arial"/>
                <w:b/>
                <w:bCs/>
                <w:color w:val="2E6DA4"/>
                <w:sz w:val="20"/>
                <w:szCs w:val="20"/>
              </w:rPr>
              <w:t xml:space="preserve">Stage 2 — Profile &amp; Preferences (new users only)</w:t>
            </w:r>
          </w:p>
          <w:p>
            <w:pPr>
              <w:spacing w:before="30" w:after="20"/>
            </w:pPr>
            <w:r>
              <w:rPr>
                <w:rFonts w:ascii="Arial" w:cs="Arial" w:eastAsia="Arial" w:hAnsi="Arial"/>
                <w:color w:val="1A1A2E"/>
                <w:sz w:val="20"/>
                <w:szCs w:val="20"/>
              </w:rPr>
              <w:t xml:space="preserve">3a. New user: create User document in MongoDB → Onboarding wizard</w:t>
            </w:r>
          </w:p>
          <w:p>
            <w:pPr>
              <w:spacing w:before="0" w:after="30"/>
            </w:pPr>
            <w:r>
              <w:rPr>
                <w:rFonts w:ascii="Arial" w:cs="Arial" w:eastAsia="Arial" w:hAnsi="Arial"/>
                <w:i/>
                <w:iCs/>
                <w:color w:val="444466"/>
                <w:sz w:val="18"/>
                <w:szCs w:val="18"/>
              </w:rPr>
              <w:t xml:space="preserve">        ↓  Select native / target language → Initial assessment test → Save profile</w:t>
            </w:r>
          </w:p>
          <w:p>
            <w:pPr>
              <w:spacing w:before="30" w:after="40"/>
            </w:pPr>
            <w:r>
              <w:rPr>
                <w:rFonts w:ascii="Arial" w:cs="Arial" w:eastAsia="Arial" w:hAnsi="Arial"/>
                <w:color w:val="1A1A2E"/>
                <w:sz w:val="20"/>
                <w:szCs w:val="20"/>
              </w:rPr>
              <w:t xml:space="preserve">3b. Returning user: fetch existing profile from MongoDB → route to Dashboard</w:t>
            </w:r>
          </w:p>
          <w:p>
            <w:pPr>
              <w:spacing w:before="60" w:after="60"/>
            </w:pPr>
            <w:r>
              <w:rPr>
                <w:rFonts w:ascii="Arial" w:cs="Arial" w:eastAsia="Arial" w:hAnsi="Arial"/>
                <w:b/>
                <w:bCs/>
                <w:color w:val="2E6DA4"/>
                <w:sz w:val="20"/>
                <w:szCs w:val="20"/>
              </w:rPr>
              <w:t xml:space="preserve">Stage 3 — Core Engine Connections (Dashboard)</w:t>
            </w:r>
          </w:p>
          <w:p>
            <w:pPr>
              <w:spacing w:before="20" w:after="20"/>
            </w:pPr>
            <w:r>
              <w:rPr>
                <w:rFonts w:ascii="Arial" w:cs="Arial" w:eastAsia="Arial" w:hAnsi="Arial"/>
                <w:color w:val="1A1A2E"/>
                <w:sz w:val="20"/>
                <w:szCs w:val="20"/>
              </w:rPr>
              <w:t xml:space="preserve">Path 1 →  Drill Engine (Vocabulary / Grammar)</w:t>
            </w:r>
          </w:p>
          <w:p>
            <w:pPr>
              <w:spacing w:before="20" w:after="20"/>
            </w:pPr>
            <w:r>
              <w:rPr>
                <w:rFonts w:ascii="Arial" w:cs="Arial" w:eastAsia="Arial" w:hAnsi="Arial"/>
                <w:color w:val="1A1A2E"/>
                <w:sz w:val="20"/>
                <w:szCs w:val="20"/>
              </w:rPr>
              <w:t xml:space="preserve">Path 2 →  Pronunciation Engine (SpeechAce)</w:t>
            </w:r>
          </w:p>
          <w:p>
            <w:pPr>
              <w:spacing w:before="20" w:after="20"/>
            </w:pPr>
            <w:r>
              <w:rPr>
                <w:rFonts w:ascii="Arial" w:cs="Arial" w:eastAsia="Arial" w:hAnsi="Arial"/>
                <w:color w:val="1A1A2E"/>
                <w:sz w:val="20"/>
                <w:szCs w:val="20"/>
              </w:rPr>
              <w:t xml:space="preserve">Path 3 →  AI Conversation Engine (Gemini Live API)</w:t>
            </w:r>
          </w:p>
          <w:p>
            <w:pPr>
              <w:spacing w:before="20" w:after="0"/>
            </w:pPr>
            <w:r>
              <w:rPr>
                <w:rFonts w:ascii="Arial" w:cs="Arial" w:eastAsia="Arial" w:hAnsi="Arial"/>
                <w:color w:val="1A1A2E"/>
                <w:sz w:val="20"/>
                <w:szCs w:val="20"/>
              </w:rPr>
              <w:t xml:space="preserve">Path 4 →  Metrics &amp; Analytics (Zustand + MongoDB)</w:t>
            </w:r>
          </w:p>
        </w:tc>
      </w:tr>
    </w:tbl>
    <w:p>
      <w:pPr>
        <w:spacing w:before="120" w:after="0"/>
      </w:pPr>
      <w:r>
        <w:t xml:space="preserve"/>
      </w:r>
    </w:p>
    <w:p>
      <w:pPr>
        <w:pStyle w:val="Heading2"/>
        <w:spacing w:before="320" w:after="120"/>
      </w:pPr>
      <w:r>
        <w:rPr>
          <w:rFonts w:ascii="Arial" w:cs="Arial" w:eastAsia="Arial" w:hAnsi="Arial"/>
          <w:b/>
          <w:bCs/>
          <w:color w:val="1E3A5F"/>
        </w:rPr>
        <w:t xml:space="preserve">3.2  Flow 2: Drill Execution → Practice → Metrics</w:t>
      </w:r>
    </w:p>
    <w:p>
      <w:pPr>
        <w:spacing w:before="80" w:after="80"/>
      </w:pPr>
      <w:r>
        <w:rPr>
          <w:rFonts w:ascii="Arial" w:cs="Arial" w:eastAsia="Arial" w:hAnsi="Arial"/>
          <w:color w:val="444466"/>
          <w:sz w:val="22"/>
          <w:szCs w:val="22"/>
        </w:rPr>
        <w:t xml:space="preserve">This flow traces the complete lifecycle of a single learning session — from selecting a drill, interacting with the AI and speech APIs in real time, to saving results as actionable metrics for future sessions.</w:t>
      </w:r>
    </w:p>
    <w:p>
      <w:pPr>
        <w:spacing w:before="80" w:after="0"/>
      </w:pPr>
      <w:r>
        <w:t xml:space="preserve"/>
      </w:r>
    </w:p>
    <w:p>
      <w:pPr>
        <w:pStyle w:val="Heading3"/>
        <w:spacing w:before="200" w:after="80"/>
      </w:pPr>
      <w:r>
        <w:rPr>
          <w:rFonts w:ascii="Arial" w:cs="Arial" w:eastAsia="Arial" w:hAnsi="Arial"/>
          <w:b/>
          <w:bCs/>
          <w:color w:val="2E6DA4"/>
        </w:rPr>
        <w:t xml:space="preserve">Phase 1 — Drill Initiation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D6E4F0" w:sz="1"/>
              <w:bottom w:val="single" w:color="D6E4F0" w:sz="1"/>
              <w:right w:val="single" w:color="D6E4F0" w:sz="1"/>
            </w:tcBorders>
            <w:shd w:fill="F4F6F9" w:val="clear"/>
            <w:tcMar>
              <w:top w:type="dxa" w:w="200"/>
              <w:left w:type="dxa" w:w="280"/>
              <w:bottom w:type="dxa" w:w="200"/>
              <w:right w:type="dxa" w:w="280"/>
            </w:tcMar>
          </w:tcPr>
          <w:p>
            <w:pPr>
              <w:spacing w:before="0" w:after="120"/>
            </w:pPr>
            <w:r>
              <w:rPr>
                <w:rFonts w:ascii="Arial" w:cs="Arial" w:eastAsia="Arial" w:hAnsi="Arial"/>
                <w:b/>
                <w:bCs/>
                <w:color w:val="1E3A5F"/>
                <w:sz w:val="22"/>
                <w:szCs w:val="22"/>
              </w:rPr>
              <w:t xml:space="preserve">Drill Initiation Sequence</w:t>
            </w:r>
          </w:p>
          <w:p>
            <w:pPr>
              <w:spacing w:before="40" w:after="20"/>
            </w:pPr>
            <w:r>
              <w:rPr>
                <w:rFonts w:ascii="Arial" w:cs="Arial" w:eastAsia="Arial" w:hAnsi="Arial"/>
                <w:color w:val="1A1A2E"/>
                <w:sz w:val="20"/>
                <w:szCs w:val="20"/>
              </w:rPr>
              <w:t xml:space="preserve">1.  Student selects a drill (e.g. 'At the Airport')</w:t>
            </w:r>
          </w:p>
          <w:p>
            <w:pPr>
              <w:spacing w:before="0" w:after="30"/>
            </w:pPr>
            <w:r>
              <w:rPr>
                <w:rFonts w:ascii="Arial" w:cs="Arial" w:eastAsia="Arial" w:hAnsi="Arial"/>
                <w:i/>
                <w:iCs/>
                <w:color w:val="444466"/>
                <w:sz w:val="18"/>
                <w:szCs w:val="18"/>
              </w:rPr>
              <w:t xml:space="preserve">        ↓  Web/Mobile UI calls GET /api/drills/:id</w:t>
            </w:r>
          </w:p>
          <w:p>
            <w:pPr>
              <w:spacing w:before="40" w:after="20"/>
            </w:pPr>
            <w:r>
              <w:rPr>
                <w:rFonts w:ascii="Arial" w:cs="Arial" w:eastAsia="Arial" w:hAnsi="Arial"/>
                <w:color w:val="1A1A2E"/>
                <w:sz w:val="20"/>
                <w:szCs w:val="20"/>
              </w:rPr>
              <w:t xml:space="preserve">2.  Backend fetches Drill Data &amp; Expected Patterns from MongoDB</w:t>
            </w:r>
          </w:p>
          <w:p>
            <w:pPr>
              <w:spacing w:before="0" w:after="30"/>
            </w:pPr>
            <w:r>
              <w:rPr>
                <w:rFonts w:ascii="Arial" w:cs="Arial" w:eastAsia="Arial" w:hAnsi="Arial"/>
                <w:i/>
                <w:iCs/>
                <w:color w:val="444466"/>
                <w:sz w:val="18"/>
                <w:szCs w:val="18"/>
              </w:rPr>
              <w:t xml:space="preserve">        ↓  Drill JSON returned to client; scenario and target words displayed to student</w:t>
            </w:r>
          </w:p>
        </w:tc>
      </w:tr>
    </w:tbl>
    <w:p>
      <w:pPr>
        <w:spacing w:before="100" w:after="0"/>
      </w:pPr>
      <w:r>
        <w:t xml:space="preserve"/>
      </w:r>
    </w:p>
    <w:p>
      <w:pPr>
        <w:pStyle w:val="Heading3"/>
        <w:spacing w:before="200" w:after="80"/>
      </w:pPr>
      <w:r>
        <w:rPr>
          <w:rFonts w:ascii="Arial" w:cs="Arial" w:eastAsia="Arial" w:hAnsi="Arial"/>
          <w:b/>
          <w:bCs/>
          <w:color w:val="2E6DA4"/>
        </w:rPr>
        <w:t xml:space="preserve">Phase 2 — Active Practice &amp; AI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D6E4F0" w:sz="1"/>
              <w:bottom w:val="single" w:color="D6E4F0" w:sz="1"/>
              <w:right w:val="single" w:color="D6E4F0" w:sz="1"/>
            </w:tcBorders>
            <w:shd w:fill="F4F6F9" w:val="clear"/>
            <w:tcMar>
              <w:top w:type="dxa" w:w="200"/>
              <w:left w:type="dxa" w:w="280"/>
              <w:bottom w:type="dxa" w:w="200"/>
              <w:right w:type="dxa" w:w="280"/>
            </w:tcMar>
          </w:tcPr>
          <w:p>
            <w:pPr>
              <w:spacing w:before="0" w:after="120"/>
            </w:pPr>
            <w:r>
              <w:rPr>
                <w:rFonts w:ascii="Arial" w:cs="Arial" w:eastAsia="Arial" w:hAnsi="Arial"/>
                <w:b/>
                <w:bCs/>
                <w:color w:val="1E3A5F"/>
                <w:sz w:val="22"/>
                <w:szCs w:val="22"/>
              </w:rPr>
              <w:t xml:space="preserve">Live Practice Sequence</w:t>
            </w:r>
          </w:p>
          <w:p>
            <w:pPr>
              <w:spacing w:before="40" w:after="20"/>
            </w:pPr>
            <w:r>
              <w:rPr>
                <w:rFonts w:ascii="Arial" w:cs="Arial" w:eastAsia="Arial" w:hAnsi="Arial"/>
                <w:color w:val="1A1A2E"/>
                <w:sz w:val="20"/>
                <w:szCs w:val="20"/>
              </w:rPr>
              <w:t xml:space="preserve">1.  Student speaks into the microphone</w:t>
            </w:r>
          </w:p>
          <w:p>
            <w:pPr>
              <w:spacing w:before="0" w:after="30"/>
            </w:pPr>
            <w:r>
              <w:rPr>
                <w:rFonts w:ascii="Arial" w:cs="Arial" w:eastAsia="Arial" w:hAnsi="Arial"/>
                <w:i/>
                <w:iCs/>
                <w:color w:val="444466"/>
                <w:sz w:val="18"/>
                <w:szCs w:val="18"/>
              </w:rPr>
              <w:t xml:space="preserve">        ↓  Client streams audio context to Next.js backend</w:t>
            </w:r>
          </w:p>
          <w:p>
            <w:pPr>
              <w:spacing w:before="40" w:after="20"/>
            </w:pPr>
            <w:r>
              <w:rPr>
                <w:rFonts w:ascii="Arial" w:cs="Arial" w:eastAsia="Arial" w:hAnsi="Arial"/>
                <w:color w:val="1A1A2E"/>
                <w:sz w:val="20"/>
                <w:szCs w:val="20"/>
              </w:rPr>
              <w:t xml:space="preserve">2.  Backend sends audio context to Gemini via WebSocket (Live API)</w:t>
            </w:r>
          </w:p>
          <w:p>
            <w:pPr>
              <w:spacing w:before="0" w:after="30"/>
            </w:pPr>
            <w:r>
              <w:rPr>
                <w:rFonts w:ascii="Arial" w:cs="Arial" w:eastAsia="Arial" w:hAnsi="Arial"/>
                <w:i/>
                <w:iCs/>
                <w:color w:val="444466"/>
                <w:sz w:val="18"/>
                <w:szCs w:val="18"/>
              </w:rPr>
              <w:t xml:space="preserve">        ↓  Gemini returns conversational text response</w:t>
            </w:r>
          </w:p>
          <w:p>
            <w:pPr>
              <w:spacing w:before="40" w:after="20"/>
            </w:pPr>
            <w:r>
              <w:rPr>
                <w:rFonts w:ascii="Arial" w:cs="Arial" w:eastAsia="Arial" w:hAnsi="Arial"/>
                <w:color w:val="1A1A2E"/>
                <w:sz w:val="20"/>
                <w:szCs w:val="20"/>
              </w:rPr>
              <w:t xml:space="preserve">3.  In parallel — Backend sends text to ElevenLabs for TTS voice generation</w:t>
            </w:r>
          </w:p>
          <w:p>
            <w:pPr>
              <w:spacing w:before="0" w:after="30"/>
            </w:pPr>
            <w:r>
              <w:rPr>
                <w:rFonts w:ascii="Arial" w:cs="Arial" w:eastAsia="Arial" w:hAnsi="Arial"/>
                <w:i/>
                <w:iCs/>
                <w:color w:val="444466"/>
                <w:sz w:val="18"/>
                <w:szCs w:val="18"/>
              </w:rPr>
              <w:t xml:space="preserve">        ↓  ElevenLabs returns AI voice audio buffer</w:t>
            </w:r>
          </w:p>
          <w:p>
            <w:pPr>
              <w:spacing w:before="40" w:after="20"/>
            </w:pPr>
            <w:r>
              <w:rPr>
                <w:rFonts w:ascii="Arial" w:cs="Arial" w:eastAsia="Arial" w:hAnsi="Arial"/>
                <w:color w:val="1A1A2E"/>
                <w:sz w:val="20"/>
                <w:szCs w:val="20"/>
              </w:rPr>
              <w:t xml:space="preserve">4.  In parallel — Backend sends student audio to SpeechAce for pronunciation scoring</w:t>
            </w:r>
          </w:p>
          <w:p>
            <w:pPr>
              <w:spacing w:before="0" w:after="30"/>
            </w:pPr>
            <w:r>
              <w:rPr>
                <w:rFonts w:ascii="Arial" w:cs="Arial" w:eastAsia="Arial" w:hAnsi="Arial"/>
                <w:i/>
                <w:iCs/>
                <w:color w:val="444466"/>
                <w:sz w:val="18"/>
                <w:szCs w:val="18"/>
              </w:rPr>
              <w:t xml:space="preserve">        ↓  SpeechAce returns phoneme scores and fluency metrics</w:t>
            </w:r>
          </w:p>
          <w:p>
            <w:pPr>
              <w:spacing w:before="40" w:after="20"/>
            </w:pPr>
            <w:r>
              <w:rPr>
                <w:rFonts w:ascii="Arial" w:cs="Arial" w:eastAsia="Arial" w:hAnsi="Arial"/>
                <w:color w:val="1A1A2E"/>
                <w:sz w:val="20"/>
                <w:szCs w:val="20"/>
              </w:rPr>
              <w:t xml:space="preserve">5.  Backend returns AI voice + student score to client simultaneously</w:t>
            </w:r>
          </w:p>
          <w:p>
            <w:pPr>
              <w:spacing w:before="0" w:after="30"/>
            </w:pPr>
            <w:r>
              <w:rPr>
                <w:rFonts w:ascii="Arial" w:cs="Arial" w:eastAsia="Arial" w:hAnsi="Arial"/>
                <w:i/>
                <w:iCs/>
                <w:color w:val="444466"/>
                <w:sz w:val="18"/>
                <w:szCs w:val="18"/>
              </w:rPr>
              <w:t xml:space="preserve">        ↓  Client plays voice and displays accuracy (e.g. '85% Accuracy')</w:t>
            </w:r>
          </w:p>
        </w:tc>
      </w:tr>
    </w:tbl>
    <w:p>
      <w:pPr>
        <w:spacing w:before="100" w:after="0"/>
      </w:pPr>
      <w:r>
        <w:t xml:space="preserve"/>
      </w:r>
    </w:p>
    <w:p>
      <w:pPr>
        <w:pStyle w:val="Heading3"/>
        <w:spacing w:before="200" w:after="80"/>
      </w:pPr>
      <w:r>
        <w:rPr>
          <w:rFonts w:ascii="Arial" w:cs="Arial" w:eastAsia="Arial" w:hAnsi="Arial"/>
          <w:b/>
          <w:bCs/>
          <w:color w:val="2E6DA4"/>
        </w:rPr>
        <w:t xml:space="preserve">Phase 3 — Analytics Compilation &amp;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D6E4F0" w:sz="1"/>
              <w:bottom w:val="single" w:color="D6E4F0" w:sz="1"/>
              <w:right w:val="single" w:color="D6E4F0" w:sz="1"/>
            </w:tcBorders>
            <w:shd w:fill="F4F6F9" w:val="clear"/>
            <w:tcMar>
              <w:top w:type="dxa" w:w="200"/>
              <w:left w:type="dxa" w:w="280"/>
              <w:bottom w:type="dxa" w:w="200"/>
              <w:right w:type="dxa" w:w="280"/>
            </w:tcMar>
          </w:tcPr>
          <w:p>
            <w:pPr>
              <w:spacing w:before="0" w:after="120"/>
            </w:pPr>
            <w:r>
              <w:rPr>
                <w:rFonts w:ascii="Arial" w:cs="Arial" w:eastAsia="Arial" w:hAnsi="Arial"/>
                <w:b/>
                <w:bCs/>
                <w:color w:val="1E3A5F"/>
                <w:sz w:val="22"/>
                <w:szCs w:val="22"/>
              </w:rPr>
              <w:t xml:space="preserve">Session Save Sequence</w:t>
            </w:r>
          </w:p>
          <w:p>
            <w:pPr>
              <w:spacing w:before="40" w:after="20"/>
            </w:pPr>
            <w:r>
              <w:rPr>
                <w:rFonts w:ascii="Arial" w:cs="Arial" w:eastAsia="Arial" w:hAnsi="Arial"/>
                <w:color w:val="1A1A2E"/>
                <w:sz w:val="20"/>
                <w:szCs w:val="20"/>
              </w:rPr>
              <w:t xml:space="preserve">1.  Student completes the session</w:t>
            </w:r>
          </w:p>
          <w:p>
            <w:pPr>
              <w:spacing w:before="0" w:after="30"/>
            </w:pPr>
            <w:r>
              <w:rPr>
                <w:rFonts w:ascii="Arial" w:cs="Arial" w:eastAsia="Arial" w:hAnsi="Arial"/>
                <w:i/>
                <w:iCs/>
                <w:color w:val="444466"/>
                <w:sz w:val="18"/>
                <w:szCs w:val="18"/>
              </w:rPr>
              <w:t xml:space="preserve">        ↓  Client POSTs session data to POST /api/metrics</w:t>
            </w:r>
          </w:p>
          <w:p>
            <w:pPr>
              <w:spacing w:before="40" w:after="20"/>
            </w:pPr>
            <w:r>
              <w:rPr>
                <w:rFonts w:ascii="Arial" w:cs="Arial" w:eastAsia="Arial" w:hAnsi="Arial"/>
                <w:color w:val="1A1A2E"/>
                <w:sz w:val="20"/>
                <w:szCs w:val="20"/>
              </w:rPr>
              <w:t xml:space="preserve">2.  Backend appends results to User's DrillAttempt document in MongoDB</w:t>
            </w:r>
          </w:p>
          <w:p>
            <w:pPr>
              <w:spacing w:before="40" w:after="20"/>
            </w:pPr>
            <w:r>
              <w:rPr>
                <w:rFonts w:ascii="Arial" w:cs="Arial" w:eastAsia="Arial" w:hAnsi="Arial"/>
                <w:color w:val="1A1A2E"/>
                <w:sz w:val="20"/>
                <w:szCs w:val="20"/>
              </w:rPr>
              <w:t xml:space="preserve">3.  Backend updates aggregate LearnerPronunciation metrics</w:t>
            </w:r>
          </w:p>
          <w:p>
            <w:pPr>
              <w:spacing w:before="0" w:after="30"/>
            </w:pPr>
            <w:r>
              <w:rPr>
                <w:rFonts w:ascii="Arial" w:cs="Arial" w:eastAsia="Arial" w:hAnsi="Arial"/>
                <w:i/>
                <w:iCs/>
                <w:color w:val="444466"/>
                <w:sz w:val="18"/>
                <w:szCs w:val="18"/>
              </w:rPr>
              <w:t xml:space="preserve">        ↓  Returns HTTP 200 OK to client</w:t>
            </w:r>
          </w:p>
          <w:p>
            <w:pPr>
              <w:spacing w:before="40" w:after="20"/>
            </w:pPr>
            <w:r>
              <w:rPr>
                <w:rFonts w:ascii="Arial" w:cs="Arial" w:eastAsia="Arial" w:hAnsi="Arial"/>
                <w:color w:val="1A1A2E"/>
                <w:sz w:val="20"/>
                <w:szCs w:val="20"/>
              </w:rPr>
              <w:t xml:space="preserve">4.  Client renders a dynamic analytics chart showing progress over time</w:t>
            </w:r>
          </w:p>
        </w:tc>
      </w:tr>
    </w:tbl>
    <w:p>
      <w:pPr>
        <w:spacing w:before="120" w:after="0"/>
      </w:pPr>
      <w:r>
        <w:t xml:space="preserve"/>
      </w:r>
    </w:p>
    <w:p>
      <w:pPr>
        <w:pStyle w:val="Heading2"/>
        <w:spacing w:before="320" w:after="120"/>
      </w:pPr>
      <w:r>
        <w:rPr>
          <w:rFonts w:ascii="Arial" w:cs="Arial" w:eastAsia="Arial" w:hAnsi="Arial"/>
          <w:b/>
          <w:bCs/>
          <w:color w:val="1E3A5F"/>
        </w:rPr>
        <w:t xml:space="preserve">3.3  Flow 3: Continuous Learning Loop (Analytics Feedback)</w:t>
      </w:r>
    </w:p>
    <w:p>
      <w:pPr>
        <w:spacing w:before="80" w:after="80"/>
      </w:pPr>
      <w:r>
        <w:rPr>
          <w:rFonts w:ascii="Arial" w:cs="Arial" w:eastAsia="Arial" w:hAnsi="Arial"/>
          <w:color w:val="444466"/>
          <w:sz w:val="22"/>
          <w:szCs w:val="22"/>
        </w:rPr>
        <w:t xml:space="preserve">The adaptive learning loop is the intelligence layer that connects raw session data back into personalised AI instruction. It closes the gap between assessment and teaching.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2"/>
              <w:bottom w:val="single" w:color="D6E4F0" w:sz="1"/>
              <w:right w:val="single" w:color="D6E4F0" w:sz="1"/>
            </w:tcBorders>
            <w:shd w:fill="F4F6F9" w:val="clear"/>
            <w:tcMar>
              <w:top w:type="dxa" w:w="200"/>
              <w:left w:type="dxa" w:w="280"/>
              <w:bottom w:type="dxa" w:w="200"/>
              <w:right w:type="dxa" w:w="280"/>
            </w:tcMar>
          </w:tcPr>
          <w:p>
            <w:pPr>
              <w:spacing w:before="0" w:after="140"/>
            </w:pPr>
            <w:r>
              <w:rPr>
                <w:rFonts w:ascii="Arial" w:cs="Arial" w:eastAsia="Arial" w:hAnsi="Arial"/>
                <w:b/>
                <w:bCs/>
                <w:color w:val="1E3A5F"/>
                <w:sz w:val="22"/>
                <w:szCs w:val="22"/>
              </w:rPr>
              <w:t xml:space="preserve">Adaptive Learning Loop</w:t>
            </w:r>
          </w:p>
          <w:p>
            <w:pPr>
              <w:spacing w:before="60" w:after="80"/>
            </w:pPr>
            <w:r>
              <w:rPr>
                <w:rFonts w:ascii="Arial" w:cs="Arial" w:eastAsia="Arial" w:hAnsi="Arial"/>
                <w:b/>
                <w:bCs/>
                <w:color w:val="2E6DA4"/>
                <w:sz w:val="20"/>
                <w:szCs w:val="20"/>
              </w:rPr>
              <w:t xml:space="preserve">Step 1 — Data Collection</w:t>
            </w:r>
            <w:r>
              <w:rPr>
                <w:rFonts w:ascii="Arial" w:cs="Arial" w:eastAsia="Arial" w:hAnsi="Arial"/>
                <w:color w:val="1A1A2E"/>
                <w:sz w:val="20"/>
                <w:szCs w:val="20"/>
              </w:rPr>
              <w:t xml:space="preserve">   When a drill finishes, the backend compiles SpeechAce phoneme scores and Gemini grammar accuracy evaluations into a unified session record.</w:t>
            </w:r>
          </w:p>
          <w:p>
            <w:pPr>
              <w:spacing w:before="0" w:after="80"/>
            </w:pPr>
            <w:r>
              <w:rPr>
                <w:rFonts w:ascii="Arial" w:cs="Arial" w:eastAsia="Arial" w:hAnsi="Arial"/>
                <w:b/>
                <w:bCs/>
                <w:color w:val="2E6DA4"/>
                <w:sz w:val="20"/>
                <w:szCs w:val="20"/>
              </w:rPr>
              <w:t xml:space="preserve">Step 2 — Database Storage</w:t>
            </w:r>
            <w:r>
              <w:rPr>
                <w:rFonts w:ascii="Arial" w:cs="Arial" w:eastAsia="Arial" w:hAnsi="Arial"/>
                <w:color w:val="1A1A2E"/>
                <w:sz w:val="20"/>
                <w:szCs w:val="20"/>
              </w:rPr>
              <w:t xml:space="preserve">   Session results are persisted to the LearnerPronunciation and DrillAttempt schemas in MongoDB, building a longitudinal record of student progress.</w:t>
            </w:r>
          </w:p>
          <w:p>
            <w:pPr>
              <w:spacing w:before="0" w:after="80"/>
            </w:pPr>
            <w:r>
              <w:rPr>
                <w:rFonts w:ascii="Arial" w:cs="Arial" w:eastAsia="Arial" w:hAnsi="Arial"/>
                <w:b/>
                <w:bCs/>
                <w:color w:val="2E6DA4"/>
                <w:sz w:val="20"/>
                <w:szCs w:val="20"/>
              </w:rPr>
              <w:t xml:space="preserve">Step 3 — Analytics UI</w:t>
            </w:r>
            <w:r>
              <w:rPr>
                <w:rFonts w:ascii="Arial" w:cs="Arial" w:eastAsia="Arial" w:hAnsi="Arial"/>
                <w:color w:val="1A1A2E"/>
                <w:sz w:val="20"/>
                <w:szCs w:val="20"/>
              </w:rPr>
              <w:t xml:space="preserve">   The frontend fetches aggregated metrics via React Query and renders dynamic progress charts and scoring breakdowns for the student.</w:t>
            </w:r>
          </w:p>
          <w:p>
            <w:pPr>
              <w:spacing w:before="0" w:after="0"/>
            </w:pPr>
            <w:r>
              <w:rPr>
                <w:rFonts w:ascii="Arial" w:cs="Arial" w:eastAsia="Arial" w:hAnsi="Arial"/>
                <w:b/>
                <w:bCs/>
                <w:color w:val="2E6DA4"/>
                <w:sz w:val="20"/>
                <w:szCs w:val="20"/>
              </w:rPr>
              <w:t xml:space="preserve">Step 4 — Adaptive Generation</w:t>
            </w:r>
            <w:r>
              <w:rPr>
                <w:rFonts w:ascii="Arial" w:cs="Arial" w:eastAsia="Arial" w:hAnsi="Arial"/>
                <w:color w:val="1A1A2E"/>
                <w:sz w:val="20"/>
                <w:szCs w:val="20"/>
              </w:rPr>
              <w:t xml:space="preserve">   On the next AI roleplay session, the backend injects the student's historical weak points into the Gemini prompt — e.g. 'This student struggles with th sounds. Focus vocabulary on this phoneme.' This creates a closed, self-improving learning loop.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D6E4F0" w:sz="1"/>
              <w:bottom w:val="single" w:color="D6E4F0" w:sz="1"/>
              <w:right w:val="single" w:color="D6E4F0" w:sz="1"/>
            </w:tcBorders>
            <w:shd w:fill="F4F6F9" w:val="clear"/>
            <w:tcMar>
              <w:top w:type="dxa" w:w="240"/>
              <w:left w:type="dxa" w:w="360"/>
              <w:bottom w:type="dxa" w:w="240"/>
              <w:right w:type="dxa" w:w="360"/>
            </w:tcMar>
          </w:tcPr>
          <w:p>
            <w:pPr>
              <w:spacing w:before="0" w:after="120"/>
            </w:pPr>
            <w:r>
              <w:rPr>
                <w:rFonts w:ascii="Arial" w:cs="Arial" w:eastAsia="Arial" w:hAnsi="Arial"/>
                <w:b/>
                <w:bCs/>
                <w:color w:val="1E3A5F"/>
                <w:sz w:val="26"/>
                <w:szCs w:val="26"/>
              </w:rPr>
              <w:t xml:space="preserve">Document Summary</w:t>
            </w:r>
          </w:p>
          <w:p>
            <w:pPr>
              <w:spacing w:before="0" w:after="0"/>
            </w:pPr>
            <w:r>
              <w:rPr>
                <w:rFonts w:ascii="Arial" w:cs="Arial" w:eastAsia="Arial" w:hAnsi="Arial"/>
                <w:color w:val="1A1A2E"/>
                <w:sz w:val="21"/>
                <w:szCs w:val="21"/>
              </w:rPr>
              <w:t xml:space="preserve">This report documents 11 technologies across 5 stack categories, a 2-tier cost structure (6 free-tier + 2 paid services), a 3-tier user subscription revenue model, and 3 detailed application flows covering authentication, live drill execution (with parallel AI/speech API processing), and the adaptive continuous learning loop.</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spacing w:before="120" w:after="0"/>
      <w:jc w:val="center"/>
    </w:pPr>
    <w:r>
      <w:rPr>
        <w:rFonts w:ascii="Arial" w:cs="Arial" w:eastAsia="Arial" w:hAnsi="Arial"/>
        <w:color w:val="444466"/>
        <w:sz w:val="16"/>
        <w:szCs w:val="16"/>
      </w:rPr>
      <w:t xml:space="preserve">Confidential  ·  Internal Use Only  ·  © 2026 Elkan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spacing w:before="0" w:after="160"/>
    </w:pPr>
    <w:r>
      <w:rPr>
        <w:rFonts w:ascii="Arial" w:cs="Arial" w:eastAsia="Arial" w:hAnsi="Arial"/>
        <w:color w:val="444466"/>
        <w:sz w:val="18"/>
        <w:szCs w:val="18"/>
      </w:rPr>
      <w:t xml:space="preserve">ELKAN PROJECT  |  Technology Stack &amp; Architecture Report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2026-02-27T13:54:58.291Z</dcterms:created>
  <dcterms:modified xsi:type="dcterms:W3CDTF">2026-02-27T13:54:58.292Z</dcterms:modified>
</cp:coreProperties>
</file>

<file path=docProps/custom.xml><?xml version="1.0" encoding="utf-8"?>
<Properties xmlns="http://schemas.openxmlformats.org/officeDocument/2006/custom-properties" xmlns:vt="http://schemas.openxmlformats.org/officeDocument/2006/docPropsVTypes"/>
</file>