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141" w:rsidRDefault="00647141">
      <w:pPr>
        <w:jc w:val="center"/>
        <w:rPr>
          <w:rFonts w:asciiTheme="minorEastAsia" w:hAnsiTheme="minorEastAsia"/>
          <w:szCs w:val="21"/>
        </w:rPr>
      </w:pPr>
    </w:p>
    <w:p w:rsidR="00647141" w:rsidRDefault="00EB6304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/>
          <w:sz w:val="72"/>
          <w:szCs w:val="72"/>
        </w:rPr>
      </w:r>
      <w:r w:rsidR="00D725BB">
        <w:rPr>
          <w:rFonts w:asciiTheme="minorEastAsia" w:hAnsiTheme="minorEastAsia"/>
          <w:sz w:val="72"/>
          <w:szCs w:val="72"/>
        </w:rPr>
      </w:r>
      <w:r>
        <w:rPr>
          <w:rFonts w:asciiTheme="minorEastAsia" w:hAnsiTheme="minorEastAsia" w:hint="eastAsia"/>
          <w:sz w:val="72"/>
          <w:szCs w:val="72"/>
        </w:rPr>
        <w:t>基于YOLO模型的显示屏表面缺陷AI智能检测与分析系统</w:t>
      </w:r>
      <w:r w:rsidR="00D725BB">
        <w:rPr>
          <w:rFonts w:asciiTheme="minorEastAsia" w:hAnsiTheme="minorEastAsia"/>
          <w:sz w:val="72"/>
          <w:szCs w:val="72"/>
        </w:rPr>
      </w:r>
    </w:p>
    <w:p w:rsidR="00647141" w:rsidRDefault="00647141">
      <w:pPr>
        <w:jc w:val="center"/>
        <w:rPr>
          <w:rFonts w:asciiTheme="minorEastAsia" w:hAnsiTheme="minorEastAsia"/>
          <w:sz w:val="72"/>
          <w:szCs w:val="72"/>
        </w:rPr>
      </w:pPr>
    </w:p>
    <w:p w:rsidR="00647141" w:rsidRDefault="00647141">
      <w:pPr>
        <w:rPr>
          <w:rFonts w:asciiTheme="minorEastAsia" w:hAnsiTheme="minorEastAsia"/>
          <w:sz w:val="72"/>
          <w:szCs w:val="72"/>
        </w:rPr>
      </w:pPr>
      <w:bookmarkStart w:id="0" w:name="_GoBack"/>
      <w:bookmarkEnd w:id="0"/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/>
          <w:sz w:val="72"/>
          <w:szCs w:val="72"/>
        </w:rPr>
        <w:t>(</w:t>
      </w:r>
      <w:r w:rsidR="00D725BB">
        <w:rPr>
          <w:rFonts w:asciiTheme="minorEastAsia" w:hAnsiTheme="minorEastAsia"/>
          <w:sz w:val="72"/>
          <w:szCs w:val="72"/>
        </w:rPr>
      </w:r>
      <w:r w:rsidR="00EB6304">
        <w:rPr>
          <w:rFonts w:asciiTheme="minorEastAsia" w:hAnsiTheme="minorEastAsia"/>
          <w:sz w:val="72"/>
          <w:szCs w:val="72"/>
        </w:rPr>
      </w:r>
      <w:r w:rsidR="00EB6304">
        <w:rPr>
          <w:rFonts w:asciiTheme="minorEastAsia" w:hAnsiTheme="minorEastAsia" w:hint="eastAsia"/>
          <w:sz w:val="72"/>
          <w:szCs w:val="72"/>
        </w:rPr>
        <w:t>V1.0</w:t>
      </w:r>
      <w:r w:rsidR="00D725BB">
        <w:rPr>
          <w:rFonts w:asciiTheme="minorEastAsia" w:hAnsiTheme="minorEastAsia"/>
          <w:sz w:val="72"/>
          <w:szCs w:val="72"/>
        </w:rPr>
      </w:r>
      <w:r>
        <w:rPr>
          <w:rFonts w:asciiTheme="minorEastAsia" w:hAnsiTheme="minorEastAsia"/>
          <w:sz w:val="72"/>
          <w:szCs w:val="72"/>
        </w:rPr>
        <w:t>)</w:t>
      </w:r>
    </w:p>
    <w:p w:rsidR="00647141" w:rsidRDefault="00647141">
      <w:pPr>
        <w:jc w:val="center"/>
        <w:rPr>
          <w:rFonts w:asciiTheme="minorEastAsia" w:hAnsiTheme="minorEastAsia"/>
          <w:sz w:val="72"/>
          <w:szCs w:val="72"/>
        </w:rPr>
      </w:pPr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 w:hint="eastAsia"/>
          <w:sz w:val="72"/>
          <w:szCs w:val="72"/>
        </w:rPr>
        <w:t>用</w:t>
      </w:r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 w:hint="eastAsia"/>
          <w:sz w:val="72"/>
          <w:szCs w:val="72"/>
        </w:rPr>
        <w:t>户</w:t>
      </w:r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 w:hint="eastAsia"/>
          <w:sz w:val="72"/>
          <w:szCs w:val="72"/>
        </w:rPr>
        <w:t>手</w:t>
      </w:r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proofErr w:type="gramStart"/>
      <w:r>
        <w:rPr>
          <w:rFonts w:asciiTheme="minorEastAsia" w:hAnsiTheme="minorEastAsia" w:hint="eastAsia"/>
          <w:sz w:val="72"/>
          <w:szCs w:val="72"/>
        </w:rPr>
        <w:t>册</w:t>
      </w:r>
      <w:proofErr w:type="gramEnd"/>
    </w:p>
    <w:p>
      <w:pPr>
        <w:pStyle w:val="1"/>
        <w:spacing w:line="240" w:lineRule="auto" w:before="40" w:after="40"/>
      </w:pPr>
      <w:r>
        <w:rPr>
          <w:rFonts w:ascii="宋体" w:hAnsi="宋体"/>
          <w:sz w:val="21"/>
        </w:rPr>
        <w:t>软件说明书</w:t>
      </w:r>
    </w:p>
    <w:p>
      <w:pPr>
        <w:pStyle w:val="2"/>
        <w:spacing w:line="240" w:lineRule="auto" w:before="40" w:after="40"/>
      </w:pPr>
      <w:r>
        <w:rPr>
          <w:rFonts w:ascii="宋体" w:hAnsi="宋体"/>
          <w:sz w:val="21"/>
        </w:rPr>
        <w:t>1 软件概况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1.1 软件全称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基于YOLO模型的显示屏表面缺陷AI智能检测与分析系统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1.2 软件简称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显示屏表面缺陷AI智能系统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1.3 版本号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V1.0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1.4 软件分类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1应用软件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1.5 开发单位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深圳壹视光电有限公司，统一社会信用代码为91440300MA5G2XGR4U。公司专注于新型显示领域的AI智能检测技术研发与应用，致力于为电子产品制造企业提供高效、精准的质量检测解决方案。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1.6 开发完成日期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2023年01月10日</w:t>
      </w:r>
    </w:p>
    <w:p>
      <w:pPr>
        <w:pStyle w:val="2"/>
        <w:spacing w:line="240" w:lineRule="auto" w:before="40" w:after="40"/>
      </w:pPr>
      <w:r>
        <w:rPr>
          <w:rFonts w:ascii="宋体" w:hAnsi="宋体"/>
          <w:sz w:val="21"/>
        </w:rPr>
        <w:t>2 软件功能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2.1 功能概述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基于YOLO模型的显示屏表面缺陷AI智能检测与分析系统，是面向制造业、电子产品、新型显示等行业的智能化质量检测软件，核心目标是解决显示器生产企业传统人工检测效率低、精度不稳定、数据统计分析能力弱等痛点，实现显示屏表面缺陷的自动化、智能化检测与分析。软件集成了YOLO目标检测模型的高精度识别能力，覆盖从缺陷检测、分类到数据统计、报告生成的全流程，支持生产过程中的实时检测与离线分析，助力企业提升生产良率与出厂合格率，降低人工成本与质量管控风险。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2.2 主要功能模块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（1）缺陷智能检测模块</w:t>
        <w:br/>
        <w:t>该模块是软件的核心功能单元，主要实现显示屏表面缺陷的实时识别与定位。</w:t>
        <w:br/>
        <w:t>功能点包括：</w:t>
        <w:br/>
        <w:t>第一，实时图像采集与检测。支持对接生产线上的工业相机设备，实时获取显示屏表面图像，通过预加载的YOLO模型进行实时推理，自动识别图像中的缺陷区域，包括划痕、亮点、暗点、漏光、污渍等12种常见显示屏表面缺陷类型。</w:t>
        <w:br/>
        <w:t>第二，缺陷区域精准定位。检测过程中会自动标记缺陷在显示屏上的坐标位置、缺陷区域的宽度与高度，同时计算缺陷面积占显示屏总面积的比例，为后续的缺陷严重程度判定提供数据支撑。</w:t>
        <w:br/>
        <w:t>第三，离线批量检测。支持导入本地存储的显示屏图像文件，批量完成缺陷检测任务，适用于生产抽检、历史数据回溯分析等场景，批量检测任务支持后台运行，用户可随时查看检测进度。</w:t>
        <w:br/>
        <w:t>操作流程：用户进入缺陷检测模块后，可选择实时检测或离线检测模式。若选择实时检测，需先完成工业相机设备的连接与参数配置，点击启动检测按钮后，系统将自动采集图像并推送至YOLO模型进行推理，检测结果将实时展示在界面上；若选择离线检测，点击导入文件按钮选择待检测的图像文件夹，设置批量检测参数后启动任务，系统将逐张完成检测并生成中间结果，任务完成后可查看完整检测列表。</w:t>
        <w:br/>
        <w:t>界面设计：模块主界面分为图像展示区、缺陷信息区与操作控制区三部分。图像展示区实时显示采集或导入的显示屏图像，缺陷区域用不同颜色的边框标记，每种颜色对应一种缺陷类型；缺陷信息区列表展示当前图像中检测到的所有缺陷的类型、位置坐标、面积占比等信息；操作控制区包含检测模式切换、参数配置、任务启停等功能按钮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（2）缺陷分类与属性管理模块</w:t>
        <w:br/>
        <w:t>该模块主要实现缺陷类型的标准化分类与属性配置，确保检测结果的一致性与规范性。</w:t>
        <w:br/>
        <w:t>功能点包括：</w:t>
        <w:br/>
        <w:t>第一，缺陷类型自定义配置。支持企业根据自身生产需求，新增、修改或删除缺陷类型，每种缺陷类型可配置专属的名称、代码、颜色标记、严重等级划分标准，例如将划痕缺陷划分为轻微、中度、重度三个等级，划分依据为划痕长度与宽度。</w:t>
        <w:br/>
        <w:t>第二，缺陷属性自动关联。检测到缺陷后，系统会根据预设的属性规则，自动匹配缺陷的严重等级、影响范围等属性，同时支持人工手动调整属性信息，满足特殊场景下的灵活处理需求。</w:t>
        <w:br/>
        <w:t>第三，缺陷类型数据同步。当缺陷类型配置发生变更时，系统会自动同步至YOLO模型的推理规则中，确保后续检测任务使用最新的分类标准，避免出现分类不一致的问题。</w:t>
        <w:br/>
        <w:t>操作流程：用户进入缺陷分类与属性管理模块后，可查看当前已配置的所有缺陷类型列表。若需新增缺陷类型，点击新增按钮，填写缺陷名称、代码，选择标记颜色，设置严重等级划分规则后保存；若需修改已有类型，在列表中选择目标类型，点击编辑按钮调整相关配置后提交；若需删除类型，需确认该类型无关联的检测数据后执行删除操作。</w:t>
        <w:br/>
        <w:t>界面设计：模块主界面分为缺陷类型列表区与配置详情区。列表区展示所有缺陷类型的名称、代码、标记颜色、启用状态等信息；配置详情区在用户选择某一类型后，显示该类型的详细属性配置项，支持在线编辑与保存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（3）检测数据统计与分析模块</w:t>
        <w:br/>
        <w:t>该模块主要对检测产生的缺陷数据进行多维度统计与深度分析，挖掘生产过程中的质量问题规律。</w:t>
        <w:br/>
        <w:t>功能点包括：</w:t>
        <w:br/>
        <w:t>第一，多维度数据统计。支持按时间周期（日、周、月、季度）、生产批次、生产线编号、缺陷类型等维度进行数据统计，生成缺陷数量统计、缺陷占比统计、良率趋势统计等数据结果，例如统计某条生产线本周内每天的划痕缺陷数量变化趋势。</w:t>
        <w:br/>
        <w:t>第二，质量异常预警。系统会根据预设的良率阈值与缺陷数量阈值，实时监控生产过程中的数据变化，当某一时间段内的缺陷数量超过阈值或良率低于阈值时，自动触发预警提示，同时推送预警信息至相关管理人员的系统消息中心。</w:t>
        <w:br/>
        <w:t>第三，根因分析辅助。基于统计数据生成关联分析报告，例如分析不同生产批次的缺陷类型分布与原材料批次的关联关系，或分析环境温湿度与缺陷发生率的相关性，为企业排查质量问题根源提供数据支撑。</w:t>
        <w:br/>
        <w:t>操作流程：用户进入统计分析模块后，先选择统计维度与时间范围，点击生成统计按钮，系统将从数据库中提取对应的数据并进行计算，生成可视化的统计图表与数据表格。若需设置预警规则，进入预警配置页面，选择预警类型，设置阈值条件与接收人员后保存，系统将自动启动监控。</w:t>
        <w:br/>
        <w:t>界面设计：模块主界面分为统计条件区、可视化展示区与数据详情区。统计条件区包含维度选择、时间范围设置、筛选条件输入等控件；可视化展示区通过柱状图、折线图、饼图等形式展示统计结果，支持图表类型切换；数据详情区展示统计结果的原始数据表格，支持导出为Excel文件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（4）检测报告生成与管理模块</w:t>
        <w:br/>
        <w:t>该模块主要实现检测结果的标准化报告生成与全生命周期管理，满足企业质量管控与客户溯源的需求。</w:t>
        <w:br/>
        <w:t>功能点包括：</w:t>
        <w:br/>
        <w:t>第一，多类型报告自动生成。支持生成单屏检测报告、批次检测报告与周期统计报告三种类型的报告。单屏检测报告针对单块显示屏的检测结果，包含图像、缺陷详情、判定结果等信息；批次检测报告针对某一生产批次的所有显示屏，包含批次良率、缺陷类型分布、不合格品明细等信息；周期统计报告针对某一时间段内的检测数据，包含良率趋势、缺陷发生率、预警事件汇总等信息。</w:t>
        <w:br/>
        <w:t>第二，报告模板自定义。支持企业根据自身质量管控标准，自定义报告的模板样式，包括报告标题、logo、内容布局、数据展示格式等，自定义模板可保存为预设模板，后续生成报告时直接调用。</w:t>
        <w:br/>
        <w:t>第三，报告存储与溯源管理。所有生成的报告将自动存储至系统数据库中，支持按报告类型、生成时间、生产批次等条件进行检索，同时支持报告的在线查看、下载打印与分享，每一份报告都包含唯一的溯源编号，可通过编号快速定位对应的检测数据。</w:t>
        <w:br/>
        <w:t>操作流程：用户进入报告生成模块后，选择报告类型，设置报告的生成条件，例如选择单屏检测报告时需指定对应的检测任务编号，选择批次报告时需指定生产批次号，然后选择报告模板，点击生成按钮，系统将自动提取对应的数据并填充至模板中，生成PDF格式的报告。生成完成后，用户可在报告列表中查看、下载或分享报告。</w:t>
        <w:br/>
        <w:t>界面设计：模块主界面分为报告生成区与报告管理区。报告生成区包含报告类型选择、条件设置、模板选择等控件；报告管理区以列表形式展示所有已生成的报告，包含报告编号、类型、生成时间、关联批次等信息，支持搜索与筛选功能，列表操作栏包含查看、下载、删除等按钮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（5）系统用户与权限管理模块</w:t>
        <w:br/>
        <w:t>该模块主要实现系统用户的账号管理与权限分配，确保系统数据的安全性与操作的规范性。</w:t>
        <w:br/>
        <w:t>功能点包括：</w:t>
        <w:br/>
        <w:t>第一，用户账号全生命周期管理。支持新增、修改、删除系统用户账号，设置用户的基本信息，包括姓名、工号、所属部门、联系方式等，同时支持用户账号的启用与禁用操作，满足人员变动时的账号管理需求。</w:t>
        <w:br/>
        <w:t>第二，精细化权限分配。采用角色权限管理模式，支持自定义角色并为角色分配不同模块的操作权限，例如设置检测员角色仅拥有缺陷检测模块的操作权限，质量管理员角色拥有统计分析与报告生成模块的权限，系统管理员角色拥有全模块的管理权限。</w:t>
        <w:br/>
        <w:t>第三，操作日志记录与审计。系统将自动记录所有用户的操作行为，包括登录时间、操作模块、操作内容、操作结果等信息，操作日志不可修改与删除，支持按用户、时间、操作类型等条件进行查询，用于系统操作的审计与追溯。</w:t>
        <w:br/>
        <w:t>操作流程：用户进入用户与权限管理模块后，若需管理用户账号，进入用户列表页面，点击新增按钮填写用户信息并保存，或选择已有用户进行编辑与禁用操作；若需配置权限，进入角色管理页面，新增或选择已有角色，勾选该角色可访问的模块与操作权限后保存，再将角色分配给对应的用户账号。</w:t>
        <w:br/>
        <w:t>界面设计：模块主界面分为用户管理区与角色权限管理区。用户管理区以列表形式展示所有用户账号的基本信息与账号状态，支持搜索与批量操作；角色权限管理区包含角色列表与权限配置页面，角色列表展示所有角色的名称、权限范围、关联用户数量等信息，权限配置页面以勾选框形式展示所有模块的操作权限。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2.3 功能特点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（1）全流程覆盖的质量管控能力</w:t>
        <w:br/>
        <w:t>软件覆盖从缺陷检测、分类到数据统计、报告生成的全流程质量管控环节，实现检测数据的无缝流转与闭环管理。从生产线上的实时检测到后端的数据分析与报告输出，无需人工介入数据传递，确保数据的准确性与时效性，为企业构建完整的质量管控链条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（2）灵活适配的个性化配置能力</w:t>
        <w:br/>
        <w:t>支持企业根据自身生产工艺与质量标准，自定义缺陷类型、检测参数、统计维度与报告模板，满足不同企业的差异化需求。无论是新型显示屏产品的缺陷类型扩展，还是特殊生产批次的专项检测配置，都能通过系统的个性化配置功能快速实现，无需进行底层代码的修改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（3）高效的批量与离线处理能力</w:t>
        <w:br/>
        <w:t>针对生产抽检、历史数据回溯等场景，提供离线批量检测功能，支持同时处理数千张显示屏图像，且批量任务可在后台运行，不影响用户进行其他操作。同时，系统支持检测任务的断点续传，若任务中途因异常中断，恢复后可从断点位置继续执行，提升批量处理的效率与稳定性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（4）直观的可视化展示能力</w:t>
        <w:br/>
        <w:t>软件所有模块的核心数据均采用可视化图表进行展示，包括缺陷区域的标记、统计数据的趋势图、饼图等，让用户能够快速理解检测结果与统计分析结论。可视化展示不仅提升了操作的便捷性，也降低了用户的学习成本，即使是非技术岗位的质量管理人员也能快速掌握系统的使用。</w:t>
      </w:r>
    </w:p>
    <w:p>
      <w:pPr>
        <w:pStyle w:val="2"/>
        <w:spacing w:line="240" w:lineRule="auto" w:before="40" w:after="40"/>
      </w:pPr>
      <w:r>
        <w:rPr>
          <w:rFonts w:ascii="宋体" w:hAnsi="宋体"/>
          <w:sz w:val="21"/>
        </w:rPr>
        <w:t>3 软件运行环境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3.1 硬件环境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（1）开发硬件环境</w:t>
        <w:br/>
        <w:t>开发阶段采用虚拟机作为硬件支撑，配置为16核CPU，32GB内存，300GB硬盘。该配置能够满足软件开发过程中的代码编译、模型训练、功能测试等需求，同时支持多开发人员的并行开发与调试，确保开发进度的高效推进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（2）运行硬件环境</w:t>
        <w:br/>
        <w:t>正式运行阶段采用虚拟机作为硬件支撑，配置为32核CPU，64GB内存，500GB硬盘。该配置能够支撑YOLO模型的实时推理、大规模检测数据的存储与统计分析，同时满足多用户并行操作与系统后台任务的运行需求，确保系统在生产环境下的稳定性与响应速度。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3.2 软件环境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（1）开发操作系统</w:t>
        <w:br/>
        <w:t>开发阶段采用Windows操作系统，该系统具备友好的图形化操作界面与丰富的开发工具生态，能够适配VS2022、VSCode等开发工具的运行需求，提升开发人员的编码与调试效率。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（2）运行平台/操作系统</w:t>
        <w:br/>
        <w:t>正式运行阶段采用Linux操作系统，该系统具备高稳定性、高安全性与低资源占用率的特点，能够满足生产环境下7*24小时不间断运行的需求，同时与nginx、docker等支撑软件的兼容性更佳，确保系统的长期稳定运行。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3.3 支撑软件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（1）nginx</w:t>
        <w:br/>
        <w:t>作为高性能的HTTP和反向代理服务器，主要负责系统的请求分发与负载均衡，将用户的前端请求转发至对应的后端服务节点，同时支持静态资源的缓存与压缩，提升系统的响应速度与并发处理能力。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（2）docker</w:t>
        <w:br/>
        <w:t>作为容器化部署工具，负责将软件的各个服务模块打包为独立的容器，实现服务的隔离部署与快速扩容。通过docker，可将YOLO模型服务、后端API服务、前端页面服务等分别封装为容器，简化部署流程，降低环境配置的复杂度，同时提升系统的可扩展性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（3）redis</w:t>
        <w:br/>
        <w:t>作为高性能的内存数据库，主要负责系统的缓存管理与会话存储。将频繁访问的检测参数、用户会话信息等存储在redis中，能够大幅降低后端数据库的访问压力，提升系统的响应速度；同时，redis的分布式缓存能力支持多服务节点的共享数据访问，确保系统的一致性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（4）PostgreSQL</w:t>
        <w:br/>
        <w:t>作为关系型数据库，负责存储系统的所有结构化数据，包括检测结果数据、缺陷类型配置数据、用户权限数据、检测报告元数据等。PostgreSQL具备强大的事务处理能力与复杂查询支持，能够满足系统多维度统计分析的数据查询需求，同时支持数据的备份与恢复，确保数据的安全性。</w:t>
      </w:r>
    </w:p>
    <w:p>
      <w:pPr>
        <w:pStyle w:val="2"/>
        <w:spacing w:line="240" w:lineRule="auto" w:before="40" w:after="40"/>
      </w:pPr>
      <w:r>
        <w:rPr>
          <w:rFonts w:ascii="宋体" w:hAnsi="宋体"/>
          <w:sz w:val="21"/>
        </w:rPr>
        <w:t>4 软件安装部署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4.1 安装步骤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（1）前置环境检查</w:t>
        <w:br/>
        <w:t>在开始安装前，需先确认运行硬件环境满足要求，即32核CPU、64GB内存、500GB硬盘的虚拟机，同时确保虚拟机已安装Linux操作系统，且系统版本为CentOS 7或Ubuntu 18.04及以上。检查系统的网络连接状态，确保虚拟机能够访问互联网，用于下载安装所需的支撑软件与系统镜像。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（2）支撑软件安装</w:t>
        <w:br/>
        <w:t>首先安装docker，通过Linux系统的包管理工具执行安装命令，安装完成后启动docker服务并设置为开机自启。接着安装nginx，同样通过包管理工具执行安装命令，完成后启动nginx服务并验证服务状态。然后安装redis，下载对应版本的安装包，解压后进行编译安装，配置redis的监听地址、端口号与密码等参数，启动redis服务并设置开机自启。最后安装PostgreSQL，通过包管理工具安装数据库服务与客户端工具，创建系统所需的数据库实例与用户，配置数据库的访问权限与连接参数，启动PostgreSQL服务并设置开机自启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（3）系统镜像拉取与部署</w:t>
        <w:br/>
        <w:t>通过docker命令从私有镜像仓库拉取基于YOLO模型的显示屏表面缺陷AI智能检测与分析系统的所有服务镜像，包括YOLO模型推理服务镜像、后端API服务镜像、前端页面服务镜像。拉取完成后，查看所有镜像的版本信息，确保与待部署的V1.0版本一致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（4）系统服务启动</w:t>
        <w:br/>
        <w:t>根据系统提供的docker-compose配置文件，依次启动各个服务模块。首先启动PostgreSQL数据库服务的容器，验证数据库连接正常后，启动redis缓存服务的容器，接着启动YOLO模型推理服务的容器，验证模型推理接口的可用性，然后启动后端API服务的容器，验证API接口的响应状态，最后启动前端页面服务的容器与nginx反向代理服务的容器。所有服务启动完成后，通过浏览器访问系统的前端页面地址，验证系统是否正常加载。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4.2 配置说明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（1）YOLO模型参数配置</w:t>
        <w:br/>
        <w:t>YOLO模型推理服务的配置文件位于容器的指定目录下，主要配置项包括模型权重文件路径、推理置信度阈值、非极大值抑制阈值、输入图像尺寸等。其中，推理置信度阈值用于控制缺陷检测的灵敏度，阈值越高，检测结果的精准度越高，但可能会遗漏部分轻微缺陷；输入图像尺寸需与模型训练时的尺寸保持一致，确保推理结果的准确性。用户可根据实际生产需求调整这些参数，修改配置文件后需重启YOLO模型推理服务容器使配置生效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（2）后端API服务配置</w:t>
        <w:br/>
        <w:t>后端API服务的配置文件主要包含数据库连接参数、redis连接参数、YOLO模型服务地址、文件存储路径等。数据库连接参数需填写PostgreSQL的主机地址、端口号、数据库名称、用户名与密码；redis连接参数需填写redis的主机地址、端口号与密码；YOLO模型服务地址需填写模型推理服务的容器地址与端口号；文件存储路径用于配置离线检测图像与检测报告的存储位置，需确保该路径具备足够的存储空间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（3）前端页面配置</w:t>
        <w:br/>
        <w:t>前端页面的配置文件主要包含后端API服务的地址、页面主题样式、语言设置等。后端API服务地址需填写nginx反向代理后的API地址，确保前端页面能够正常调用后端接口；页面主题样式支持企业自定义，可配置系统的主色调、logo等，使系统界面与企业品牌风格保持一致；语言设置支持中文与英文切换，满足不同用户的语言需求。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（4）nginx反向代理配置</w:t>
        <w:br/>
        <w:t>nginx的配置文件主要包含前端页面的路由规则与后端API服务的转发规则。前端页面路由规则用于将用户的页面请求转发至前端页面服务容器；后端API服务转发规则用于将用户的API请求转发至后端API服务容器，同时配置请求的超时时间、最大连接数等参数，提升系统的并发处理能力。配置完成后需重启nginx服务使配置生效。</w:t>
      </w:r>
    </w:p>
    <w:p>
      <w:pPr>
        <w:pStyle w:val="3"/>
        <w:spacing w:line="240" w:lineRule="auto" w:before="40" w:after="40"/>
      </w:pPr>
      <w:r>
        <w:rPr>
          <w:rFonts w:ascii="宋体" w:hAnsi="宋体"/>
          <w:sz w:val="21"/>
        </w:rPr>
        <w:t>4.3 部署流程</w:t>
      </w:r>
    </w:p>
    <w:p>
      <w:pPr>
        <w:spacing w:line="240" w:lineRule="auto" w:before="40" w:after="40"/>
      </w:pPr>
      <w:r>
        <w:rPr>
          <w:rFonts w:ascii="宋体" w:hAnsi="宋体"/>
          <w:sz w:val="21"/>
        </w:rPr>
        <w:t>（1）部署规划</w:t>
        <w:br/>
        <w:t>在正式部署前，需根据企业的生产规模与用户数量进行部署规划，确定服务节点</w:t>
      </w:r>
    </w:p>
    <w:sectPr w:rsidR="00647141">
      <w:headerReference w:type="even" r:id="rId16"/>
      <w:headerReference w:type="default" r:id="rId17"/>
      <w:headerReference w:type="first" r:id="rId20"/>
      <w:footerReference w:type="default" r:id="rId21"/>
      <w:footerReference w:type="first" r:id="rId22"/>
      <w:footerReference w:type="even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E17" w:rsidRDefault="00FF0E17">
      <w:r>
        <w:separator/>
      </w:r>
    </w:p>
  </w:endnote>
  <w:endnote w:type="continuationSeparator" w:id="0">
    <w:p w:rsidR="00FF0E17" w:rsidRDefault="00FF0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E17" w:rsidRDefault="00FF0E17">
      <w:r>
        <w:separator/>
      </w:r>
    </w:p>
  </w:footnote>
  <w:footnote w:type="continuationSeparator" w:id="0">
    <w:p w:rsidR="00FF0E17" w:rsidRDefault="00FF0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3"/>
      </w:rPr>
      <w:id w:val="-144512750"/>
    </w:sdtPr>
    <w:sdtEndPr>
      <w:rPr>
        <w:rStyle w:val="a3"/>
      </w:rPr>
    </w:sdtEndPr>
    <w:sdtContent>
      <w:p w:rsidR="00647141" w:rsidRDefault="008A72F8">
        <w:pPr>
          <w:pStyle w:val="a4"/>
          <w:framePr w:wrap="auto" w:vAnchor="text" w:hAnchor="margin" w:xAlign="right" w:y="1"/>
          <w:rPr>
            <w:rStyle w:val="a3"/>
          </w:rPr>
        </w:pPr>
        <w:r>
          <w:fldChar w:fldCharType="begin"/>
        </w:r>
        <w:r>
          <w:instrText xml:space="preserve"> PAGE </w:instrText>
        </w:r>
        <w:r>
          <w:rPr>
            <w:rStyle w:val="a3"/>
          </w:rPr>
          <w:fldChar w:fldCharType="end"/>
        </w:r>
      </w:p>
    </w:sdtContent>
  </w:sdt>
  <w:p w:rsidR="00647141" w:rsidRDefault="00647141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3"/>
      </w:rPr>
      <w:id w:val="-34356205"/>
    </w:sdtPr>
    <w:sdtEndPr>
      <w:rPr>
        <w:rStyle w:val="a3"/>
      </w:rPr>
    </w:sdtEndPr>
    <w:sdtContent>
      <w:p w:rsidR="00647141" w:rsidRDefault="008A72F8">
        <w:pPr>
          <w:pStyle w:val="a4"/>
          <w:framePr w:wrap="auto" w:vAnchor="text" w:hAnchor="margin" w:xAlign="right" w:y="1"/>
          <w:pBdr>
            <w:bottom w:val="none" w:sz="0" w:space="1" w:color="auto"/>
          </w:pBdr>
          <w:rPr>
            <w:rStyle w:val="a3"/>
          </w:rPr>
        </w:pPr>
        <w:r>
          <w:fldChar w:fldCharType="begin"/>
        </w:r>
        <w:r>
          <w:instrText xml:space="preserve"> PAGE </w:instrText>
        </w:r>
        <w:r>
          <w:rPr>
            <w:rStyle w:val="a3"/>
          </w:rPr>
          <w:fldChar w:fldCharType="separate"/>
        </w:r>
        <w:r w:rsidR="00D725BB">
          <w:rPr>
            <w:noProof/>
          </w:rPr>
          <w:t>1</w:t>
        </w:r>
        <w:r>
          <w:rPr>
            <w:rStyle w:val="a3"/>
          </w:rPr>
          <w:fldChar w:fldCharType="end"/>
        </w:r>
      </w:p>
    </w:sdtContent>
  </w:sdt>
  <w:p w:rsidR="00647141" w:rsidRDefault="00D725BB">
    <w:pPr>
      <w:pStyle w:val="a4"/>
      <w:pBdr>
        <w:bottom w:val="none" w:sz="0" w:space="1" w:color="auto"/>
      </w:pBdr>
      <w:ind w:right="360"/>
    </w:pPr>
    <w:r/>
    <w:r w:rsidR="00EB6304">
      <w:rPr>
        <w:rFonts w:hint="eastAsia"/>
      </w:rPr>
    </w:r>
    <w:r w:rsidR="00EB6304">
      <w:rPr>
        <w:rFonts w:hint="eastAsia"/>
      </w:rPr>
      <w:t>基于YOLO模型的显示屏表面缺陷AI智能检测与分析系统</w:t>
    </w:r>
    <w:r/>
    <w:r w:rsidR="00EB6304">
      <w:t xml:space="preserve"> </w:t>
    </w:r>
    <w:r/>
    <w:r w:rsidR="00EB6304"/>
    <w:r w:rsidR="00EB6304">
      <w:rPr>
        <w:rFonts w:hint="eastAsia"/>
      </w:rPr>
      <w:t>V1.0</w:t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21E3"/>
    <w:multiLevelType w:val="multilevel"/>
    <w:tmpl w:val="042121E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4DC1940"/>
    <w:multiLevelType w:val="multilevel"/>
    <w:tmpl w:val="04DC19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B213261"/>
    <w:multiLevelType w:val="multilevel"/>
    <w:tmpl w:val="0B21326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DFE5678"/>
    <w:multiLevelType w:val="multilevel"/>
    <w:tmpl w:val="1DFE56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DA0206B"/>
    <w:multiLevelType w:val="multilevel"/>
    <w:tmpl w:val="2DA020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1793C6A"/>
    <w:multiLevelType w:val="multilevel"/>
    <w:tmpl w:val="31793C6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2884BF2"/>
    <w:multiLevelType w:val="multilevel"/>
    <w:tmpl w:val="32884B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6A50A13"/>
    <w:multiLevelType w:val="multilevel"/>
    <w:tmpl w:val="36A50A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9BF2682"/>
    <w:multiLevelType w:val="multilevel"/>
    <w:tmpl w:val="39BF268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CC756E0"/>
    <w:multiLevelType w:val="multilevel"/>
    <w:tmpl w:val="3CC756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00966"/>
    <w:multiLevelType w:val="multilevel"/>
    <w:tmpl w:val="409009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57646746"/>
    <w:multiLevelType w:val="multilevel"/>
    <w:tmpl w:val="576467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65C59"/>
    <w:multiLevelType w:val="multilevel"/>
    <w:tmpl w:val="64665C5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650B1D5E"/>
    <w:multiLevelType w:val="multilevel"/>
    <w:tmpl w:val="650B1D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7A0B57DF"/>
    <w:multiLevelType w:val="multilevel"/>
    <w:tmpl w:val="7A0B57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F2504"/>
    <w:multiLevelType w:val="multilevel"/>
    <w:tmpl w:val="7FBF25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5"/>
  </w:num>
  <w:num w:numId="5">
    <w:abstractNumId w:val="15"/>
  </w:num>
  <w:num w:numId="6">
    <w:abstractNumId w:val="14"/>
  </w:num>
  <w:num w:numId="7">
    <w:abstractNumId w:val="11"/>
  </w:num>
  <w:num w:numId="8">
    <w:abstractNumId w:val="9"/>
  </w:num>
  <w:num w:numId="9">
    <w:abstractNumId w:val="2"/>
  </w:num>
  <w:num w:numId="10">
    <w:abstractNumId w:val="4"/>
  </w:num>
  <w:num w:numId="11">
    <w:abstractNumId w:val="6"/>
  </w:num>
  <w:num w:numId="12">
    <w:abstractNumId w:val="12"/>
  </w:num>
  <w:num w:numId="13">
    <w:abstractNumId w:val="13"/>
  </w:num>
  <w:num w:numId="14">
    <w:abstractNumId w:val="7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UwNTY4ZGNjMjU5YjgyMTg2NTU5MzJmODM5ZmI1YTQifQ=="/>
  </w:docVars>
  <w:rsids>
    <w:rsidRoot w:val="00E4356D"/>
    <w:rsid w:val="0002521E"/>
    <w:rsid w:val="002B70BC"/>
    <w:rsid w:val="00305ABB"/>
    <w:rsid w:val="0034674B"/>
    <w:rsid w:val="004C3FB3"/>
    <w:rsid w:val="00520C48"/>
    <w:rsid w:val="00555BCC"/>
    <w:rsid w:val="00636F4C"/>
    <w:rsid w:val="00647141"/>
    <w:rsid w:val="008A72F8"/>
    <w:rsid w:val="00A44C4C"/>
    <w:rsid w:val="00BA3A0C"/>
    <w:rsid w:val="00BA5319"/>
    <w:rsid w:val="00C10178"/>
    <w:rsid w:val="00C709DC"/>
    <w:rsid w:val="00D725BB"/>
    <w:rsid w:val="00E4356D"/>
    <w:rsid w:val="00EB6304"/>
    <w:rsid w:val="00F714A2"/>
    <w:rsid w:val="00FF0E17"/>
    <w:rsid w:val="00FF5818"/>
    <w:rsid w:val="0D392BB2"/>
    <w:rsid w:val="14431A9E"/>
    <w:rsid w:val="32771258"/>
    <w:rsid w:val="7F53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71A9"/>
  <w15:docId w15:val="{44C88A9B-C011-49E6-9890-58E636E2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autoRedefine/>
    <w:uiPriority w:val="99"/>
    <w:unhideWhenUsed/>
    <w:qFormat/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Title"/>
    <w:basedOn w:val="a"/>
    <w:next w:val="a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autoRedefine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9">
    <w:name w:val="标题 字符"/>
    <w:basedOn w:val="a0"/>
    <w:autoRedefine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aa">
    <w:name w:val="页眉 字符"/>
    <w:basedOn w:val="a0"/>
    <w:autoRedefine/>
    <w:uiPriority w:val="99"/>
    <w:qFormat/>
    <w:rPr>
      <w:sz w:val="18"/>
      <w:szCs w:val="18"/>
    </w:rPr>
  </w:style>
  <w:style w:type="character" w:customStyle="1" w:styleId="ab">
    <w:name w:val="页脚 字符"/>
    <w:basedOn w:val="a0"/>
    <w:autoRedefine/>
    <w:uiPriority w:val="99"/>
    <w:qFormat/>
    <w:rPr>
      <w:sz w:val="18"/>
      <w:szCs w:val="18"/>
    </w:rPr>
  </w:style>
  <w:style w:type="paragraph" w:customStyle="1" w:styleId="Heading2ab1dc901-8be2-4320-bdd4-437b9b8e01b4">
    <w:name w:val="Heading 2_ab1dc901-8be2-4320-bdd4-437b9b8e01b4"/>
    <w:basedOn w:val="a"/>
    <w:next w:val="a"/>
    <w:autoRedefine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Normalfcc5e4c9-f407-4fae-9592-df0106b38868">
    <w:name w:val="Normal_fcc5e4c9-f407-4fae-9592-df0106b38868"/>
    <w:autoRedefine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97e1123c-6005-45d3-8d1a-29baf171bd1d">
    <w:name w:val="Normal_97e1123c-6005-45d3-8d1a-29baf171bd1d"/>
    <w:autoRedefine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c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10" Type="http://schemas.openxmlformats.org/officeDocument/2006/relationships/numbering" Target="numbering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2</Pages>
  <Words>92</Words>
  <Characters>528</Characters>
  <Application>Microsoft Office Word</Application>
  <DocSecurity>0</DocSecurity>
  <Lines>4</Lines>
  <Paragraphs>1</Paragraphs>
  <CharactersWithSpaces>619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23</cp:revision>
  <dcterms:created xsi:type="dcterms:W3CDTF">2020-07-13T10:02:00Z</dcterms:created>
  <dcterms:modified xsi:type="dcterms:W3CDTF">2020-11-09T14:56:00Z</dcterms:modified>
</cp:coreProperties>
</file>

<file path=customXml/item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2</Pages>
  <Words>92</Words>
  <Characters>528</Characters>
  <Application>Microsoft Office Word</Application>
  <DocSecurity>0</DocSecurity>
  <Lines>4</Lines>
  <Paragraphs>1</Paragraphs>
  <CharactersWithSpaces>619</CharactersWithSpaces>
  <AppVersion>15.0000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23</cp:revision>
  <dcterms:created xsi:type="dcterms:W3CDTF">2020-07-13T10:02:00Z</dcterms:created>
  <dcterms:modified xsi:type="dcterms:W3CDTF">2020-11-09T14:56:00Z</dcterms:modified>
</cp:coreProperties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

<file path=customXml/item8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23</cp:revision>
  <dcterms:created xsi:type="dcterms:W3CDTF">2020-07-13T10:02:00Z</dcterms:created>
  <dcterms:modified xsi:type="dcterms:W3CDTF">2020-11-09T14:56:00Z</dcterms:modified>
</cp:coreProperties>
</file>

<file path=customXml/itemProps1.xml><?xml version="1.0" encoding="utf-8"?>
<ds:datastoreItem xmlns:ds="http://schemas.openxmlformats.org/officeDocument/2006/customXml" ds:itemID="{71C02853-1FC2-4DCF-958D-355BAB3B3A2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7EA0B12-60EB-4827-8FA9-39CA4A18D01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A213107A-E054-4620-9F7B-52F56FF4E12B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53EA0416-AE84-4B31-856F-362B44A79CF4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5.xml><?xml version="1.0" encoding="utf-8"?>
<ds:datastoreItem xmlns:ds="http://schemas.openxmlformats.org/officeDocument/2006/customXml" ds:itemID="{6470DE99-A523-4B82-A524-B3D814BFD3FA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6C54C6DF-72F4-46D9-BF82-F7926C5D1F62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7.xml><?xml version="1.0" encoding="utf-8"?>
<ds:datastoreItem xmlns:ds="http://schemas.openxmlformats.org/officeDocument/2006/customXml" ds:itemID="{1745594A-8DC2-4D65-9132-B9FCCBB5D1D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F5A4C5FC-0506-47F5-A458-3E75E49573FD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9.xml><?xml version="1.0" encoding="utf-8"?>
<ds:datastoreItem xmlns:ds="http://schemas.openxmlformats.org/officeDocument/2006/customXml" ds:itemID="{8E15F380-E6B4-4CE2-AD3C-04CED7D30B82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>CBP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2026-03-08T07:23:00Z</dcterms:created>
  <dcterms:modified xsi:type="dcterms:W3CDTF">2026-03-08T07:31:00Z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3076-12.1.0.24034</vt:lpwstr>
  </property>
  <property fmtid="{D5CDD505-2E9C-101B-9397-08002B2CF9AE}" pid="3" name="ICV">
    <vt:lpwstr>DF55D6AA2C274829A18885B62241C00C_13</vt:lpwstr>
  </property>
  <property fmtid="{D5CDD505-2E9C-101B-9397-08002B2CF9AE}" pid="4" name="KSOTemplateDocerSaveRecord">
    <vt:lpwstr>eyJoZGlkIjoiMDVhYjBlYTcyZDc1NjNiOGNkMTU1MDZhOGZlZGEwYjYiLCJ1c2VySWQiOiIxNzM3NTI2OTgzIn0=</vt:lpwstr>
  </property>
</Properties>
</file>