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26"/>
        </w:rPr>
        <w:t>APOLOGIA</w:t>
      </w:r>
    </w:p>
    <w:p>
      <w:pPr>
        <w:jc w:val="center"/>
      </w:pPr>
      <w:r>
        <w:rPr>
          <w:rFonts w:ascii="Aptos Display" w:hAnsi="Aptos Display"/>
          <w:b/>
          <w:sz w:val="52"/>
        </w:rPr>
        <w:t>Cadrage architectural</w:t>
      </w:r>
    </w:p>
    <w:p>
      <w:pPr>
        <w:jc w:val="center"/>
      </w:pPr>
      <w:r>
        <w:rPr>
          <w:rFonts w:ascii="Aptos Display" w:hAnsi="Aptos Display"/>
          <w:sz w:val="36"/>
        </w:rPr>
        <w:t>Accès, abonnements, workspaces et autorisations</w:t>
      </w:r>
    </w:p>
    <w:p/>
    <w:p>
      <w:pPr>
        <w:jc w:val="center"/>
      </w:pPr>
      <w:r>
        <w:rPr>
          <w:b/>
          <w:sz w:val="24"/>
        </w:rPr>
        <w:t>Version 0.1 - cadrage pour la bêta V1</w:t>
      </w:r>
    </w:p>
    <w:p/>
    <w:p>
      <w:pPr>
        <w:jc w:val="center"/>
      </w:pPr>
      <w:r>
        <w:rPr>
          <w:i/>
        </w:rPr>
        <w:t>Statut : Draft architectural à valider avant SDD détaillé</w:t>
      </w:r>
    </w:p>
    <w:p/>
    <w:p>
      <w:pPr>
        <w:jc w:val="center"/>
      </w:pPr>
      <w:r>
        <w:t>Date : 6 septembre 2026</w:t>
      </w:r>
    </w:p>
    <w:p>
      <w:r>
        <w:br w:type="page"/>
      </w:r>
    </w:p>
    <w:p>
      <w:pPr>
        <w:pStyle w:val="Heading1"/>
      </w:pPr>
      <w:r>
        <w:t>1. Objet du document</w:t>
      </w:r>
    </w:p>
    <w:p>
      <w:r>
        <w:t>Ce document formalise le cadrage architectural du futur sous-système d’accès commercial, de workspaces et d’autorisations d’Apologia. Il consolide les décisions prises pour la V1 bêta et distingue explicitement les éléments décidés, différés et encore ouverts.</w:t>
      </w:r>
    </w:p>
    <w:p>
      <w:r>
        <w:t>Ce document n’est pas un Software Design Description (SDD). Il ne fige pas les composants, interfaces, schémas de base de données ni contrats techniques détaillés. Il définit les concepts, frontières, responsabilités, invariants et scénarios qui devront guider le futur SDD et l’implémentation.</w:t>
      </w:r>
    </w:p>
    <w:p>
      <w:pPr>
        <w:pStyle w:val="Decision"/>
      </w:pPr>
      <w:r>
        <w:t>Décision de cadrage</w:t>
      </w:r>
    </w:p>
    <w:p>
      <w:r>
        <w:t>Le terme « licensing » est trop étroit pour décrire le besoin réel. Le domaine couvert comprend l’identité, le contexte de travail, la relation commerciale, les droits d’usage et l’administration.</w:t>
      </w:r>
    </w:p>
    <w:p>
      <w:pPr>
        <w:pStyle w:val="Heading1"/>
      </w:pPr>
      <w:r>
        <w:t>2. Objectifs</w:t>
      </w:r>
    </w:p>
    <w:p>
      <w:pPr>
        <w:pStyle w:val="ListBullet"/>
      </w:pPr>
      <w:r>
        <w:t>Permettre à une personne physique de souscrire à Apologia pour un usage personnel ou familial.</w:t>
      </w:r>
    </w:p>
    <w:p>
      <w:pPr>
        <w:pStyle w:val="ListBullet"/>
      </w:pPr>
      <w:r>
        <w:t>Permettre à une église de souscrire et d’ouvrir l’accès à ses administrateurs, anciens, pasteurs ou membres.</w:t>
      </w:r>
    </w:p>
    <w:p>
      <w:pPr>
        <w:pStyle w:val="ListBullet"/>
      </w:pPr>
      <w:r>
        <w:t>Préserver la capacité future à couvrir plusieurs églises avec une même relation commerciale.</w:t>
      </w:r>
    </w:p>
    <w:p>
      <w:pPr>
        <w:pStyle w:val="ListBullet"/>
      </w:pPr>
      <w:r>
        <w:t>Permettre à un même utilisateur de participer à plusieurs workspaces avec des rôles différents.</w:t>
      </w:r>
    </w:p>
    <w:p>
      <w:pPr>
        <w:pStyle w:val="ListBullet"/>
      </w:pPr>
      <w:r>
        <w:t>Permettre à un même customer de détenir plusieurs subscriptions distinctes.</w:t>
      </w:r>
    </w:p>
    <w:p>
      <w:pPr>
        <w:pStyle w:val="ListBullet"/>
      </w:pPr>
      <w:r>
        <w:t>Dissocier le cycle de vie fonctionnel d’un workspace du cycle de vie commercial d’une subscription.</w:t>
      </w:r>
    </w:p>
    <w:p>
      <w:pPr>
        <w:pStyle w:val="ListBullet"/>
      </w:pPr>
      <w:r>
        <w:t>Mettre en place un contrôle d’accès principalement RBAC avec exceptions utilisateur ponctuelles.</w:t>
      </w:r>
    </w:p>
    <w:p>
      <w:pPr>
        <w:pStyle w:val="ListBullet"/>
      </w:pPr>
      <w:r>
        <w:t>Fournir pour la bêta une console d’administration interne, séparée, permettant au propriétaire de la plateforme de débloquer et assister les bêta-testeurs.</w:t>
      </w:r>
    </w:p>
    <w:p>
      <w:pPr>
        <w:pStyle w:val="ListBullet"/>
      </w:pPr>
      <w:r>
        <w:t>Préserver une architecture suffisamment simple pour une petite bêta tout en évitant les choix qui bloqueraient une future commercialisation.</w:t>
      </w:r>
    </w:p>
    <w:p>
      <w:pPr>
        <w:pStyle w:val="Heading1"/>
      </w:pPr>
      <w:r>
        <w:t>3. Principes architecturaux</w:t>
      </w:r>
    </w:p>
    <w:tbl>
      <w:tblPr>
        <w:tblStyle w:val="TableGrid"/>
        <w:tblW w:type="auto" w:w="0"/>
        <w:jc w:val="center"/>
        <w:tblLook w:firstColumn="1" w:firstRow="1" w:lastColumn="0" w:lastRow="0" w:noHBand="0" w:noVBand="1" w:val="04A0"/>
      </w:tblPr>
      <w:tblGrid>
        <w:gridCol w:w="3360"/>
        <w:gridCol w:w="3360"/>
        <w:gridCol w:w="3360"/>
      </w:tblGrid>
      <w:tr>
        <w:tc>
          <w:tcPr>
            <w:tcW w:type="dxa" w:w="720"/>
            <w:vAlign w:val="center"/>
            <w:shd w:fill="D9EAF7"/>
          </w:tcPr>
          <w:p>
            <w:r/>
            <w:r>
              <w:rPr>
                <w:rFonts w:ascii="Aptos" w:hAnsi="Aptos"/>
                <w:b/>
                <w:sz w:val="18"/>
              </w:rPr>
              <w:t>Code</w:t>
            </w:r>
          </w:p>
        </w:tc>
        <w:tc>
          <w:tcPr>
            <w:tcW w:type="dxa" w:w="2304"/>
            <w:vAlign w:val="center"/>
            <w:shd w:fill="D9EAF7"/>
          </w:tcPr>
          <w:p>
            <w:r/>
            <w:r>
              <w:rPr>
                <w:rFonts w:ascii="Aptos" w:hAnsi="Aptos"/>
                <w:b/>
                <w:sz w:val="18"/>
              </w:rPr>
              <w:t>Principe</w:t>
            </w:r>
          </w:p>
        </w:tc>
        <w:tc>
          <w:tcPr>
            <w:tcW w:type="dxa" w:w="7920"/>
            <w:vAlign w:val="center"/>
            <w:shd w:fill="D9EAF7"/>
          </w:tcPr>
          <w:p>
            <w:r/>
            <w:r>
              <w:rPr>
                <w:rFonts w:ascii="Aptos" w:hAnsi="Aptos"/>
                <w:b/>
                <w:sz w:val="18"/>
              </w:rPr>
              <w:t>Décision</w:t>
            </w:r>
          </w:p>
        </w:tc>
      </w:tr>
      <w:tr>
        <w:tc>
          <w:tcPr>
            <w:tcW w:type="dxa" w:w="720"/>
            <w:vAlign w:val="center"/>
          </w:tcPr>
          <w:p>
            <w:r/>
            <w:r>
              <w:rPr>
                <w:rFonts w:ascii="Aptos" w:hAnsi="Aptos"/>
                <w:b w:val="0"/>
                <w:sz w:val="18"/>
              </w:rPr>
              <w:t>P1</w:t>
            </w:r>
          </w:p>
        </w:tc>
        <w:tc>
          <w:tcPr>
            <w:tcW w:type="dxa" w:w="2304"/>
            <w:vAlign w:val="center"/>
          </w:tcPr>
          <w:p>
            <w:r/>
            <w:r>
              <w:rPr>
                <w:rFonts w:ascii="Aptos" w:hAnsi="Aptos"/>
                <w:b w:val="0"/>
                <w:sz w:val="18"/>
              </w:rPr>
              <w:t>Simplicité V1</w:t>
            </w:r>
          </w:p>
        </w:tc>
        <w:tc>
          <w:tcPr>
            <w:tcW w:type="dxa" w:w="7920"/>
            <w:vAlign w:val="center"/>
          </w:tcPr>
          <w:p>
            <w:r/>
            <w:r>
              <w:rPr>
                <w:rFonts w:ascii="Aptos" w:hAnsi="Aptos"/>
                <w:b w:val="0"/>
                <w:sz w:val="18"/>
              </w:rPr>
              <w:t>Pas de serveur de licence, DRM, microservice de licensing, moteur IAM générique ou automatisation de facturation en V1.</w:t>
            </w:r>
          </w:p>
        </w:tc>
      </w:tr>
      <w:tr>
        <w:tc>
          <w:tcPr>
            <w:tcW w:type="dxa" w:w="720"/>
            <w:vAlign w:val="center"/>
          </w:tcPr>
          <w:p>
            <w:r/>
            <w:r>
              <w:rPr>
                <w:rFonts w:ascii="Aptos" w:hAnsi="Aptos"/>
                <w:b w:val="0"/>
                <w:sz w:val="18"/>
              </w:rPr>
              <w:t>P2</w:t>
            </w:r>
          </w:p>
        </w:tc>
        <w:tc>
          <w:tcPr>
            <w:tcW w:type="dxa" w:w="2304"/>
            <w:vAlign w:val="center"/>
          </w:tcPr>
          <w:p>
            <w:r/>
            <w:r>
              <w:rPr>
                <w:rFonts w:ascii="Aptos" w:hAnsi="Aptos"/>
                <w:b w:val="0"/>
                <w:sz w:val="18"/>
              </w:rPr>
              <w:t>Identité globale</w:t>
            </w:r>
          </w:p>
        </w:tc>
        <w:tc>
          <w:tcPr>
            <w:tcW w:type="dxa" w:w="7920"/>
            <w:vAlign w:val="center"/>
          </w:tcPr>
          <w:p>
            <w:r/>
            <w:r>
              <w:rPr>
                <w:rFonts w:ascii="Aptos" w:hAnsi="Aptos"/>
                <w:b w:val="0"/>
                <w:sz w:val="18"/>
              </w:rPr>
              <w:t>Un utilisateur possède une identité globale et peut être membre de plusieurs workspaces.</w:t>
            </w:r>
          </w:p>
        </w:tc>
      </w:tr>
      <w:tr>
        <w:tc>
          <w:tcPr>
            <w:tcW w:type="dxa" w:w="720"/>
            <w:vAlign w:val="center"/>
          </w:tcPr>
          <w:p>
            <w:r/>
            <w:r>
              <w:rPr>
                <w:rFonts w:ascii="Aptos" w:hAnsi="Aptos"/>
                <w:b w:val="0"/>
                <w:sz w:val="18"/>
              </w:rPr>
              <w:t>P3</w:t>
            </w:r>
          </w:p>
        </w:tc>
        <w:tc>
          <w:tcPr>
            <w:tcW w:type="dxa" w:w="2304"/>
            <w:vAlign w:val="center"/>
          </w:tcPr>
          <w:p>
            <w:r/>
            <w:r>
              <w:rPr>
                <w:rFonts w:ascii="Aptos" w:hAnsi="Aptos"/>
                <w:b w:val="0"/>
                <w:sz w:val="18"/>
              </w:rPr>
              <w:t>Workspace = frontière fonctionnelle</w:t>
            </w:r>
          </w:p>
        </w:tc>
        <w:tc>
          <w:tcPr>
            <w:tcW w:type="dxa" w:w="7920"/>
            <w:vAlign w:val="center"/>
          </w:tcPr>
          <w:p>
            <w:r/>
            <w:r>
              <w:rPr>
                <w:rFonts w:ascii="Aptos" w:hAnsi="Aptos"/>
                <w:b w:val="0"/>
                <w:sz w:val="18"/>
              </w:rPr>
              <w:t>Le workspace constitue l’unité principale de contexte, d’isolation fonctionnelle et d’autorisation.</w:t>
            </w:r>
          </w:p>
        </w:tc>
      </w:tr>
      <w:tr>
        <w:tc>
          <w:tcPr>
            <w:tcW w:type="dxa" w:w="720"/>
            <w:vAlign w:val="center"/>
          </w:tcPr>
          <w:p>
            <w:r/>
            <w:r>
              <w:rPr>
                <w:rFonts w:ascii="Aptos" w:hAnsi="Aptos"/>
                <w:b w:val="0"/>
                <w:sz w:val="18"/>
              </w:rPr>
              <w:t>P4</w:t>
            </w:r>
          </w:p>
        </w:tc>
        <w:tc>
          <w:tcPr>
            <w:tcW w:type="dxa" w:w="2304"/>
            <w:vAlign w:val="center"/>
          </w:tcPr>
          <w:p>
            <w:r>
              <w:t>Customer != User</w:t>
            </w:r>
            <w:r>
              <w:rPr>
                <w:rFonts w:ascii="Aptos" w:hAnsi="Aptos"/>
                <w:b w:val="0"/>
                <w:sz w:val="18"/>
              </w:rPr>
            </w:r>
          </w:p>
        </w:tc>
        <w:tc>
          <w:tcPr>
            <w:tcW w:type="dxa" w:w="7920"/>
            <w:vAlign w:val="center"/>
          </w:tcPr>
          <w:p>
            <w:r/>
            <w:r>
              <w:rPr>
                <w:rFonts w:ascii="Aptos" w:hAnsi="Aptos"/>
                <w:b w:val="0"/>
                <w:sz w:val="18"/>
              </w:rPr>
              <w:t>Le customer est le contractant/payeur ; il n’est pas nécessairement la personne qui utilise le produit au quotidien.</w:t>
            </w:r>
          </w:p>
        </w:tc>
      </w:tr>
      <w:tr>
        <w:tc>
          <w:tcPr>
            <w:tcW w:type="dxa" w:w="720"/>
            <w:vAlign w:val="center"/>
          </w:tcPr>
          <w:p>
            <w:r/>
            <w:r>
              <w:rPr>
                <w:rFonts w:ascii="Aptos" w:hAnsi="Aptos"/>
                <w:b w:val="0"/>
                <w:sz w:val="18"/>
              </w:rPr>
              <w:t>P5</w:t>
            </w:r>
          </w:p>
        </w:tc>
        <w:tc>
          <w:tcPr>
            <w:tcW w:type="dxa" w:w="2304"/>
            <w:vAlign w:val="center"/>
          </w:tcPr>
          <w:p>
            <w:r>
              <w:t>Subscription != Workspace</w:t>
            </w:r>
            <w:r>
              <w:rPr>
                <w:rFonts w:ascii="Aptos" w:hAnsi="Aptos"/>
                <w:b w:val="0"/>
                <w:sz w:val="18"/>
              </w:rPr>
            </w:r>
          </w:p>
        </w:tc>
        <w:tc>
          <w:tcPr>
            <w:tcW w:type="dxa" w:w="7920"/>
            <w:vAlign w:val="center"/>
          </w:tcPr>
          <w:p>
            <w:r/>
            <w:r>
              <w:rPr>
                <w:rFonts w:ascii="Aptos" w:hAnsi="Aptos"/>
                <w:b w:val="0"/>
                <w:sz w:val="18"/>
              </w:rPr>
              <w:t>La subscription confère une couverture commerciale ; elle ne crée ni ne définit l’existence du workspace.</w:t>
            </w:r>
          </w:p>
        </w:tc>
      </w:tr>
      <w:tr>
        <w:tc>
          <w:tcPr>
            <w:tcW w:type="dxa" w:w="720"/>
            <w:vAlign w:val="center"/>
          </w:tcPr>
          <w:p>
            <w:r/>
            <w:r>
              <w:rPr>
                <w:rFonts w:ascii="Aptos" w:hAnsi="Aptos"/>
                <w:b w:val="0"/>
                <w:sz w:val="18"/>
              </w:rPr>
              <w:t>P6</w:t>
            </w:r>
          </w:p>
        </w:tc>
        <w:tc>
          <w:tcPr>
            <w:tcW w:type="dxa" w:w="2304"/>
            <w:vAlign w:val="center"/>
          </w:tcPr>
          <w:p>
            <w:r/>
            <w:r>
              <w:rPr>
                <w:rFonts w:ascii="Aptos" w:hAnsi="Aptos"/>
                <w:b w:val="0"/>
                <w:sz w:val="18"/>
              </w:rPr>
              <w:t>Lifecycle séparé</w:t>
            </w:r>
          </w:p>
        </w:tc>
        <w:tc>
          <w:tcPr>
            <w:tcW w:type="dxa" w:w="7920"/>
            <w:vAlign w:val="center"/>
          </w:tcPr>
          <w:p>
            <w:r/>
            <w:r>
              <w:rPr>
                <w:rFonts w:ascii="Aptos" w:hAnsi="Aptos"/>
                <w:b w:val="0"/>
                <w:sz w:val="18"/>
              </w:rPr>
              <w:t>La suspension ou l’expiration d’une subscription ne détruit pas le workspace ni ses données.</w:t>
            </w:r>
          </w:p>
        </w:tc>
      </w:tr>
      <w:tr>
        <w:tc>
          <w:tcPr>
            <w:tcW w:type="dxa" w:w="720"/>
            <w:vAlign w:val="center"/>
          </w:tcPr>
          <w:p>
            <w:r/>
            <w:r>
              <w:rPr>
                <w:rFonts w:ascii="Aptos" w:hAnsi="Aptos"/>
                <w:b w:val="0"/>
                <w:sz w:val="18"/>
              </w:rPr>
              <w:t>P7</w:t>
            </w:r>
          </w:p>
        </w:tc>
        <w:tc>
          <w:tcPr>
            <w:tcW w:type="dxa" w:w="2304"/>
            <w:vAlign w:val="center"/>
          </w:tcPr>
          <w:p>
            <w:r/>
            <w:r>
              <w:rPr>
                <w:rFonts w:ascii="Aptos" w:hAnsi="Aptos"/>
                <w:b w:val="0"/>
                <w:sz w:val="18"/>
              </w:rPr>
              <w:t>RBAC d’abord</w:t>
            </w:r>
          </w:p>
        </w:tc>
        <w:tc>
          <w:tcPr>
            <w:tcW w:type="dxa" w:w="7920"/>
            <w:vAlign w:val="center"/>
          </w:tcPr>
          <w:p>
            <w:r/>
            <w:r>
              <w:rPr>
                <w:rFonts w:ascii="Aptos" w:hAnsi="Aptos"/>
                <w:b w:val="0"/>
                <w:sz w:val="18"/>
              </w:rPr>
              <w:t>Les permissions sont attribuées principalement via des rôles ; les exceptions utilisateur restent rares et explicites.</w:t>
            </w:r>
          </w:p>
        </w:tc>
      </w:tr>
      <w:tr>
        <w:tc>
          <w:tcPr>
            <w:tcW w:type="dxa" w:w="720"/>
            <w:vAlign w:val="center"/>
          </w:tcPr>
          <w:p>
            <w:r/>
            <w:r>
              <w:rPr>
                <w:rFonts w:ascii="Aptos" w:hAnsi="Aptos"/>
                <w:b w:val="0"/>
                <w:sz w:val="18"/>
              </w:rPr>
              <w:t>P8</w:t>
            </w:r>
          </w:p>
        </w:tc>
        <w:tc>
          <w:tcPr>
            <w:tcW w:type="dxa" w:w="2304"/>
            <w:vAlign w:val="center"/>
          </w:tcPr>
          <w:p>
            <w:r/>
            <w:r>
              <w:rPr>
                <w:rFonts w:ascii="Aptos" w:hAnsi="Aptos"/>
                <w:b w:val="0"/>
                <w:sz w:val="18"/>
              </w:rPr>
              <w:t>Default deny</w:t>
            </w:r>
          </w:p>
        </w:tc>
        <w:tc>
          <w:tcPr>
            <w:tcW w:type="dxa" w:w="7920"/>
            <w:vAlign w:val="center"/>
          </w:tcPr>
          <w:p>
            <w:r/>
            <w:r>
              <w:rPr>
                <w:rFonts w:ascii="Aptos" w:hAnsi="Aptos"/>
                <w:b w:val="0"/>
                <w:sz w:val="18"/>
              </w:rPr>
              <w:t>Toute permission non explicitement accordée est refusée.</w:t>
            </w:r>
          </w:p>
        </w:tc>
      </w:tr>
      <w:tr>
        <w:tc>
          <w:tcPr>
            <w:tcW w:type="dxa" w:w="720"/>
            <w:vAlign w:val="center"/>
          </w:tcPr>
          <w:p>
            <w:r/>
            <w:r>
              <w:rPr>
                <w:rFonts w:ascii="Aptos" w:hAnsi="Aptos"/>
                <w:b w:val="0"/>
                <w:sz w:val="18"/>
              </w:rPr>
              <w:t>P9</w:t>
            </w:r>
          </w:p>
        </w:tc>
        <w:tc>
          <w:tcPr>
            <w:tcW w:type="dxa" w:w="2304"/>
            <w:vAlign w:val="center"/>
          </w:tcPr>
          <w:p>
            <w:r>
              <w:t>Autorité administrative != contenu</w:t>
            </w:r>
            <w:r>
              <w:rPr>
                <w:rFonts w:ascii="Aptos" w:hAnsi="Aptos"/>
                <w:b w:val="0"/>
                <w:sz w:val="18"/>
              </w:rPr>
            </w:r>
          </w:p>
        </w:tc>
        <w:tc>
          <w:tcPr>
            <w:tcW w:type="dxa" w:w="7920"/>
            <w:vAlign w:val="center"/>
          </w:tcPr>
          <w:p>
            <w:r/>
            <w:r>
              <w:rPr>
                <w:rFonts w:ascii="Aptos" w:hAnsi="Aptos"/>
                <w:b w:val="0"/>
                <w:sz w:val="18"/>
              </w:rPr>
              <w:t>Administrer un périmètre ne doit pas signifier automatiquement pouvoir lire son contenu fonctionnel.</w:t>
            </w:r>
          </w:p>
        </w:tc>
      </w:tr>
      <w:tr>
        <w:tc>
          <w:tcPr>
            <w:tcW w:type="dxa" w:w="720"/>
            <w:vAlign w:val="center"/>
          </w:tcPr>
          <w:p>
            <w:r/>
            <w:r>
              <w:rPr>
                <w:rFonts w:ascii="Aptos" w:hAnsi="Aptos"/>
                <w:b w:val="0"/>
                <w:sz w:val="18"/>
              </w:rPr>
              <w:t>P10</w:t>
            </w:r>
          </w:p>
        </w:tc>
        <w:tc>
          <w:tcPr>
            <w:tcW w:type="dxa" w:w="2304"/>
            <w:vAlign w:val="center"/>
          </w:tcPr>
          <w:p>
            <w:r/>
            <w:r>
              <w:rPr>
                <w:rFonts w:ascii="Aptos" w:hAnsi="Aptos"/>
                <w:b w:val="0"/>
                <w:sz w:val="18"/>
              </w:rPr>
              <w:t>Pas d’accès direct aux œuvres protégées</w:t>
            </w:r>
          </w:p>
        </w:tc>
        <w:tc>
          <w:tcPr>
            <w:tcW w:type="dxa" w:w="7920"/>
            <w:vAlign w:val="center"/>
          </w:tcPr>
          <w:p>
            <w:r/>
            <w:r>
              <w:rPr>
                <w:rFonts w:ascii="Aptos" w:hAnsi="Aptos"/>
                <w:b w:val="0"/>
                <w:sz w:val="18"/>
              </w:rPr>
              <w:t>La souscription autorise l’usage du logiciel, pas la mise à disposition directe des fichiers sources ou œuvres protégées présentes dans la base de connaissance.</w:t>
            </w:r>
          </w:p>
        </w:tc>
      </w:tr>
    </w:tbl>
    <w:p/>
    <w:p>
      <w:pPr>
        <w:pStyle w:val="Heading1"/>
      </w:pPr>
      <w:r>
        <w:t>4. Scope V1 bêta</w:t>
      </w:r>
    </w:p>
    <w:p>
      <w:pPr>
        <w:pStyle w:val="Heading2"/>
      </w:pPr>
      <w:r>
        <w:t>4.1 Inclus</w:t>
      </w:r>
    </w:p>
    <w:p>
      <w:pPr>
        <w:pStyle w:val="ListBullet"/>
      </w:pPr>
      <w:r>
        <w:t>Compte utilisateur global.</w:t>
      </w:r>
    </w:p>
    <w:p>
      <w:pPr>
        <w:pStyle w:val="ListBullet"/>
      </w:pPr>
      <w:r>
        <w:t>Customer de type individuel ou organisationnel.</w:t>
      </w:r>
    </w:p>
    <w:p>
      <w:pPr>
        <w:pStyle w:val="ListBullet"/>
      </w:pPr>
      <w:r>
        <w:t>Une personne ou organisation peut avoir plusieurs subscriptions.</w:t>
      </w:r>
    </w:p>
    <w:p>
      <w:pPr>
        <w:pStyle w:val="ListBullet"/>
      </w:pPr>
      <w:r>
        <w:t>Une subscription peut couvrir un ou plusieurs workspaces.</w:t>
      </w:r>
    </w:p>
    <w:p>
      <w:pPr>
        <w:pStyle w:val="ListBullet"/>
      </w:pPr>
      <w:r>
        <w:t>Un workspace peut exister sans subscription active.</w:t>
      </w:r>
    </w:p>
    <w:p>
      <w:pPr>
        <w:pStyle w:val="ListBullet"/>
      </w:pPr>
      <w:r>
        <w:t>Un utilisateur peut être membre de plusieurs workspaces.</w:t>
      </w:r>
    </w:p>
    <w:p>
      <w:pPr>
        <w:pStyle w:val="ListBullet"/>
      </w:pPr>
      <w:r>
        <w:t>Navigation entre workspaces depuis l’interface.</w:t>
      </w:r>
    </w:p>
    <w:p>
      <w:pPr>
        <w:pStyle w:val="ListBullet"/>
      </w:pPr>
      <w:r>
        <w:t>Membership avec rôle par workspace.</w:t>
      </w:r>
    </w:p>
    <w:p>
      <w:pPr>
        <w:pStyle w:val="ListBullet"/>
      </w:pPr>
      <w:r>
        <w:t>RBAC principal et exceptions utilisateur ciblées.</w:t>
      </w:r>
    </w:p>
    <w:p>
      <w:pPr>
        <w:pStyle w:val="ListBullet"/>
      </w:pPr>
      <w:r>
        <w:t>Cycle de vie simple des subscriptions : Trial, Active, Suspended, Cancelled, Expired.</w:t>
      </w:r>
    </w:p>
    <w:p>
      <w:pPr>
        <w:pStyle w:val="ListBullet"/>
      </w:pPr>
      <w:r>
        <w:t>Plans commerciaux simples identifiés par un PlanCode.</w:t>
      </w:r>
    </w:p>
    <w:p>
      <w:pPr>
        <w:pStyle w:val="ListBullet"/>
      </w:pPr>
      <w:r>
        <w:t>Administration interne V1 réservée au propriétaire de la plateforme.</w:t>
      </w:r>
    </w:p>
    <w:p>
      <w:pPr>
        <w:pStyle w:val="ListBullet"/>
      </w:pPr>
      <w:r>
        <w:t>Audit des principales actions administratives privilégiées.</w:t>
      </w:r>
    </w:p>
    <w:p>
      <w:pPr>
        <w:pStyle w:val="ListBullet"/>
      </w:pPr>
      <w:r>
        <w:t>Rôle restreint permettant un usage familial simple, notamment pour les enfants.</w:t>
      </w:r>
    </w:p>
    <w:p>
      <w:pPr>
        <w:pStyle w:val="Heading2"/>
      </w:pPr>
      <w:r>
        <w:t>4.2 Hors scope V1</w:t>
      </w:r>
    </w:p>
    <w:p>
      <w:pPr>
        <w:pStyle w:val="ListBullet"/>
      </w:pPr>
      <w:r>
        <w:t>Paiement automatisé et intégration Stripe ou équivalent.</w:t>
      </w:r>
    </w:p>
    <w:p>
      <w:pPr>
        <w:pStyle w:val="ListBullet"/>
      </w:pPr>
      <w:r>
        <w:t>Webhooks de paiement, renouvellement automatique, dunning et gestion automatique des impayés.</w:t>
      </w:r>
    </w:p>
    <w:p>
      <w:pPr>
        <w:pStyle w:val="ListBullet"/>
      </w:pPr>
      <w:r>
        <w:t>Hiérarchie complète local/régional/national/international des regroupements d’églises.</w:t>
      </w:r>
    </w:p>
    <w:p>
      <w:pPr>
        <w:pStyle w:val="ListBullet"/>
      </w:pPr>
      <w:r>
        <w:t>RBAC organisationnel descendant et délégation multi-niveaux.</w:t>
      </w:r>
    </w:p>
    <w:p>
      <w:pPr>
        <w:pStyle w:val="ListBullet"/>
      </w:pPr>
      <w:r>
        <w:t>SupportSession sophistiquée avec impersonation contrôlée et niveaux de support.</w:t>
      </w:r>
    </w:p>
    <w:p>
      <w:pPr>
        <w:pStyle w:val="ListBullet"/>
      </w:pPr>
      <w:r>
        <w:t>Moteur générique d’entitlements et de quotas.</w:t>
      </w:r>
    </w:p>
    <w:p>
      <w:pPr>
        <w:pStyle w:val="ListBullet"/>
      </w:pPr>
      <w:r>
        <w:t>Gestion juridique/compliance automatisée des mineurs.</w:t>
      </w:r>
    </w:p>
    <w:p>
      <w:pPr>
        <w:pStyle w:val="ListBullet"/>
      </w:pPr>
      <w:r>
        <w:t>Serveur de licence, clés offline, machine fingerprinting ou DRM maison.</w:t>
      </w:r>
    </w:p>
    <w:p>
      <w:pPr>
        <w:pStyle w:val="ListBullet"/>
      </w:pPr>
      <w:r>
        <w:t>Exposition directe des œuvres protégées ou téléchargement des livres sources.</w:t>
      </w:r>
    </w:p>
    <w:p>
      <w:pPr>
        <w:pStyle w:val="ListBullet"/>
      </w:pPr>
      <w:r>
        <w:t>Enterprise SSO, SCIM, fédération d’identité, multi-région et fonctionnalités IAM avancées.</w:t>
      </w:r>
    </w:p>
    <w:p>
      <w:pPr>
        <w:pStyle w:val="Heading1"/>
      </w:pPr>
      <w:r>
        <w:t>5. Scénarios métier de référence</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D9EAF7"/>
          </w:tcPr>
          <w:p>
            <w:r/>
            <w:r>
              <w:rPr>
                <w:rFonts w:ascii="Aptos" w:hAnsi="Aptos"/>
                <w:b/>
                <w:sz w:val="18"/>
              </w:rPr>
              <w:t>ID</w:t>
            </w:r>
          </w:p>
        </w:tc>
        <w:tc>
          <w:tcPr>
            <w:tcW w:type="dxa" w:w="2592"/>
            <w:vAlign w:val="center"/>
            <w:shd w:fill="D9EAF7"/>
          </w:tcPr>
          <w:p>
            <w:r/>
            <w:r>
              <w:rPr>
                <w:rFonts w:ascii="Aptos" w:hAnsi="Aptos"/>
                <w:b/>
                <w:sz w:val="18"/>
              </w:rPr>
              <w:t>Scénario</w:t>
            </w:r>
          </w:p>
        </w:tc>
        <w:tc>
          <w:tcPr>
            <w:tcW w:type="dxa" w:w="7488"/>
            <w:vAlign w:val="center"/>
            <w:shd w:fill="D9EAF7"/>
          </w:tcPr>
          <w:p>
            <w:r/>
            <w:r>
              <w:rPr>
                <w:rFonts w:ascii="Aptos" w:hAnsi="Aptos"/>
                <w:b/>
                <w:sz w:val="18"/>
              </w:rPr>
              <w:t>Description</w:t>
            </w:r>
          </w:p>
        </w:tc>
      </w:tr>
      <w:tr>
        <w:tc>
          <w:tcPr>
            <w:tcW w:type="dxa" w:w="1008"/>
            <w:vAlign w:val="center"/>
          </w:tcPr>
          <w:p>
            <w:r/>
            <w:r>
              <w:rPr>
                <w:rFonts w:ascii="Aptos" w:hAnsi="Aptos"/>
                <w:b w:val="0"/>
                <w:sz w:val="18"/>
              </w:rPr>
              <w:t>UC-01</w:t>
            </w:r>
          </w:p>
        </w:tc>
        <w:tc>
          <w:tcPr>
            <w:tcW w:type="dxa" w:w="2592"/>
            <w:vAlign w:val="center"/>
          </w:tcPr>
          <w:p>
            <w:r/>
            <w:r>
              <w:rPr>
                <w:rFonts w:ascii="Aptos" w:hAnsi="Aptos"/>
                <w:b w:val="0"/>
                <w:sz w:val="18"/>
              </w:rPr>
              <w:t>Particulier seul</w:t>
            </w:r>
          </w:p>
        </w:tc>
        <w:tc>
          <w:tcPr>
            <w:tcW w:type="dxa" w:w="7488"/>
            <w:vAlign w:val="center"/>
          </w:tcPr>
          <w:p>
            <w:r/>
            <w:r>
              <w:rPr>
                <w:rFonts w:ascii="Aptos" w:hAnsi="Aptos"/>
                <w:b w:val="0"/>
                <w:sz w:val="18"/>
              </w:rPr>
              <w:t>Une personne souscrit à Apologia et utilise un workspace personnel.</w:t>
            </w:r>
          </w:p>
        </w:tc>
      </w:tr>
      <w:tr>
        <w:tc>
          <w:tcPr>
            <w:tcW w:type="dxa" w:w="1008"/>
            <w:vAlign w:val="center"/>
          </w:tcPr>
          <w:p>
            <w:r/>
            <w:r>
              <w:rPr>
                <w:rFonts w:ascii="Aptos" w:hAnsi="Aptos"/>
                <w:b w:val="0"/>
                <w:sz w:val="18"/>
              </w:rPr>
              <w:t>UC-02</w:t>
            </w:r>
          </w:p>
        </w:tc>
        <w:tc>
          <w:tcPr>
            <w:tcW w:type="dxa" w:w="2592"/>
            <w:vAlign w:val="center"/>
          </w:tcPr>
          <w:p>
            <w:r/>
            <w:r>
              <w:rPr>
                <w:rFonts w:ascii="Aptos" w:hAnsi="Aptos"/>
                <w:b w:val="0"/>
                <w:sz w:val="18"/>
              </w:rPr>
              <w:t>Particulier avec famille</w:t>
            </w:r>
          </w:p>
        </w:tc>
        <w:tc>
          <w:tcPr>
            <w:tcW w:type="dxa" w:w="7488"/>
            <w:vAlign w:val="center"/>
          </w:tcPr>
          <w:p>
            <w:r/>
            <w:r>
              <w:rPr>
                <w:rFonts w:ascii="Aptos" w:hAnsi="Aptos"/>
                <w:b w:val="0"/>
                <w:sz w:val="18"/>
              </w:rPr>
              <w:t>Le souscripteur ajoute plusieurs membres de sa famille ; certains disposent de droits restreints.</w:t>
            </w:r>
          </w:p>
        </w:tc>
      </w:tr>
      <w:tr>
        <w:tc>
          <w:tcPr>
            <w:tcW w:type="dxa" w:w="1008"/>
            <w:vAlign w:val="center"/>
          </w:tcPr>
          <w:p>
            <w:r/>
            <w:r>
              <w:rPr>
                <w:rFonts w:ascii="Aptos" w:hAnsi="Aptos"/>
                <w:b w:val="0"/>
                <w:sz w:val="18"/>
              </w:rPr>
              <w:t>UC-03</w:t>
            </w:r>
          </w:p>
        </w:tc>
        <w:tc>
          <w:tcPr>
            <w:tcW w:type="dxa" w:w="2592"/>
            <w:vAlign w:val="center"/>
          </w:tcPr>
          <w:p>
            <w:r/>
            <w:r>
              <w:rPr>
                <w:rFonts w:ascii="Aptos" w:hAnsi="Aptos"/>
                <w:b w:val="0"/>
                <w:sz w:val="18"/>
              </w:rPr>
              <w:t>Particulier avec plusieurs contextes</w:t>
            </w:r>
          </w:p>
        </w:tc>
        <w:tc>
          <w:tcPr>
            <w:tcW w:type="dxa" w:w="7488"/>
            <w:vAlign w:val="center"/>
          </w:tcPr>
          <w:p>
            <w:r/>
            <w:r>
              <w:rPr>
                <w:rFonts w:ascii="Aptos" w:hAnsi="Aptos"/>
                <w:b w:val="0"/>
                <w:sz w:val="18"/>
              </w:rPr>
              <w:t>Une même personne souscrit plusieurs fois, par exemple pour sa famille et sa belle-famille, et navigue entre plusieurs workspaces.</w:t>
            </w:r>
          </w:p>
        </w:tc>
      </w:tr>
      <w:tr>
        <w:tc>
          <w:tcPr>
            <w:tcW w:type="dxa" w:w="1008"/>
            <w:vAlign w:val="center"/>
          </w:tcPr>
          <w:p>
            <w:r/>
            <w:r>
              <w:rPr>
                <w:rFonts w:ascii="Aptos" w:hAnsi="Aptos"/>
                <w:b w:val="0"/>
                <w:sz w:val="18"/>
              </w:rPr>
              <w:t>UC-04</w:t>
            </w:r>
          </w:p>
        </w:tc>
        <w:tc>
          <w:tcPr>
            <w:tcW w:type="dxa" w:w="2592"/>
            <w:vAlign w:val="center"/>
          </w:tcPr>
          <w:p>
            <w:r/>
            <w:r>
              <w:rPr>
                <w:rFonts w:ascii="Aptos" w:hAnsi="Aptos"/>
                <w:b w:val="0"/>
                <w:sz w:val="18"/>
              </w:rPr>
              <w:t>Église</w:t>
            </w:r>
          </w:p>
        </w:tc>
        <w:tc>
          <w:tcPr>
            <w:tcW w:type="dxa" w:w="7488"/>
            <w:vAlign w:val="center"/>
          </w:tcPr>
          <w:p>
            <w:r/>
            <w:r>
              <w:rPr>
                <w:rFonts w:ascii="Aptos" w:hAnsi="Aptos"/>
                <w:b w:val="0"/>
                <w:sz w:val="18"/>
              </w:rPr>
              <w:t>Une église souscrit et donne accès à plusieurs administrateurs, anciens, pasteurs ou membres.</w:t>
            </w:r>
          </w:p>
        </w:tc>
      </w:tr>
      <w:tr>
        <w:tc>
          <w:tcPr>
            <w:tcW w:type="dxa" w:w="1008"/>
            <w:vAlign w:val="center"/>
          </w:tcPr>
          <w:p>
            <w:r/>
            <w:r>
              <w:rPr>
                <w:rFonts w:ascii="Aptos" w:hAnsi="Aptos"/>
                <w:b w:val="0"/>
                <w:sz w:val="18"/>
              </w:rPr>
              <w:t>UC-05</w:t>
            </w:r>
          </w:p>
        </w:tc>
        <w:tc>
          <w:tcPr>
            <w:tcW w:type="dxa" w:w="2592"/>
            <w:vAlign w:val="center"/>
          </w:tcPr>
          <w:p>
            <w:r/>
            <w:r>
              <w:rPr>
                <w:rFonts w:ascii="Aptos" w:hAnsi="Aptos"/>
                <w:b w:val="0"/>
                <w:sz w:val="18"/>
              </w:rPr>
              <w:t>Utilisateur multi-workspaces</w:t>
            </w:r>
          </w:p>
        </w:tc>
        <w:tc>
          <w:tcPr>
            <w:tcW w:type="dxa" w:w="7488"/>
            <w:vAlign w:val="center"/>
          </w:tcPr>
          <w:p>
            <w:r/>
            <w:r>
              <w:rPr>
                <w:rFonts w:ascii="Aptos" w:hAnsi="Aptos"/>
                <w:b w:val="0"/>
                <w:sz w:val="18"/>
              </w:rPr>
              <w:t>Un utilisateur peut être Owner dans un workspace, Member dans un autre et RestrictedMember dans un troisième.</w:t>
            </w:r>
          </w:p>
        </w:tc>
      </w:tr>
      <w:tr>
        <w:tc>
          <w:tcPr>
            <w:tcW w:type="dxa" w:w="1008"/>
            <w:vAlign w:val="center"/>
          </w:tcPr>
          <w:p>
            <w:r/>
            <w:r>
              <w:rPr>
                <w:rFonts w:ascii="Aptos" w:hAnsi="Aptos"/>
                <w:b w:val="0"/>
                <w:sz w:val="18"/>
              </w:rPr>
              <w:t>UC-06</w:t>
            </w:r>
          </w:p>
        </w:tc>
        <w:tc>
          <w:tcPr>
            <w:tcW w:type="dxa" w:w="2592"/>
            <w:vAlign w:val="center"/>
          </w:tcPr>
          <w:p>
            <w:r/>
            <w:r>
              <w:rPr>
                <w:rFonts w:ascii="Aptos" w:hAnsi="Aptos"/>
                <w:b w:val="0"/>
                <w:sz w:val="18"/>
              </w:rPr>
              <w:t>Regroupement d’églises futur</w:t>
            </w:r>
          </w:p>
        </w:tc>
        <w:tc>
          <w:tcPr>
            <w:tcW w:type="dxa" w:w="7488"/>
            <w:vAlign w:val="center"/>
          </w:tcPr>
          <w:p>
            <w:r/>
            <w:r>
              <w:rPr>
                <w:rFonts w:ascii="Aptos" w:hAnsi="Aptos"/>
                <w:b w:val="0"/>
                <w:sz w:val="18"/>
              </w:rPr>
              <w:t>Une organisation cliente peut, à terme, payer une subscription couvrant plusieurs workspaces d’églises sans fusionner leurs données.</w:t>
            </w:r>
          </w:p>
        </w:tc>
      </w:tr>
      <w:tr>
        <w:tc>
          <w:tcPr>
            <w:tcW w:type="dxa" w:w="1008"/>
            <w:vAlign w:val="center"/>
          </w:tcPr>
          <w:p>
            <w:r/>
            <w:r>
              <w:rPr>
                <w:rFonts w:ascii="Aptos" w:hAnsi="Aptos"/>
                <w:b w:val="0"/>
                <w:sz w:val="18"/>
              </w:rPr>
              <w:t>UC-07</w:t>
            </w:r>
          </w:p>
        </w:tc>
        <w:tc>
          <w:tcPr>
            <w:tcW w:type="dxa" w:w="2592"/>
            <w:vAlign w:val="center"/>
          </w:tcPr>
          <w:p>
            <w:r/>
            <w:r>
              <w:rPr>
                <w:rFonts w:ascii="Aptos" w:hAnsi="Aptos"/>
                <w:b w:val="0"/>
                <w:sz w:val="18"/>
              </w:rPr>
              <w:t>Suspension commerciale</w:t>
            </w:r>
          </w:p>
        </w:tc>
        <w:tc>
          <w:tcPr>
            <w:tcW w:type="dxa" w:w="7488"/>
            <w:vAlign w:val="center"/>
          </w:tcPr>
          <w:p>
            <w:r/>
            <w:r>
              <w:rPr>
                <w:rFonts w:ascii="Aptos" w:hAnsi="Aptos"/>
                <w:b w:val="0"/>
                <w:sz w:val="18"/>
              </w:rPr>
              <w:t>Une subscription est suspendue ou expire ; le workspace est conservé, mais l’accès commercial devient indisponible selon la politique.</w:t>
            </w:r>
          </w:p>
        </w:tc>
      </w:tr>
      <w:tr>
        <w:tc>
          <w:tcPr>
            <w:tcW w:type="dxa" w:w="1008"/>
            <w:vAlign w:val="center"/>
          </w:tcPr>
          <w:p>
            <w:r/>
            <w:r>
              <w:rPr>
                <w:rFonts w:ascii="Aptos" w:hAnsi="Aptos"/>
                <w:b w:val="0"/>
                <w:sz w:val="18"/>
              </w:rPr>
              <w:t>UC-08</w:t>
            </w:r>
          </w:p>
        </w:tc>
        <w:tc>
          <w:tcPr>
            <w:tcW w:type="dxa" w:w="2592"/>
            <w:vAlign w:val="center"/>
          </w:tcPr>
          <w:p>
            <w:r/>
            <w:r>
              <w:rPr>
                <w:rFonts w:ascii="Aptos" w:hAnsi="Aptos"/>
                <w:b w:val="0"/>
                <w:sz w:val="18"/>
              </w:rPr>
              <w:t>Assistance bêta</w:t>
            </w:r>
          </w:p>
        </w:tc>
        <w:tc>
          <w:tcPr>
            <w:tcW w:type="dxa" w:w="7488"/>
            <w:vAlign w:val="center"/>
          </w:tcPr>
          <w:p>
            <w:r/>
            <w:r>
              <w:rPr>
                <w:rFonts w:ascii="Aptos" w:hAnsi="Aptos"/>
                <w:b w:val="0"/>
                <w:sz w:val="18"/>
              </w:rPr>
              <w:t>Le propriétaire de la plateforme intervient via une console interne pour corriger une subscription, un membership, un rôle ou un blocage de compte.</w:t>
            </w:r>
          </w:p>
        </w:tc>
      </w:tr>
    </w:tbl>
    <w:p/>
    <w:p>
      <w:pPr>
        <w:pStyle w:val="Heading1"/>
      </w:pPr>
      <w:r>
        <w:t>6. Modèle conceptuel</w:t>
      </w:r>
    </w:p>
    <w:p>
      <w:pPr>
        <w:pStyle w:val="CodeBlock"/>
      </w:pPr>
      <w:r>
        <w:t>User</w:t>
      </w:r>
    </w:p>
    <w:p>
      <w:pPr>
        <w:pStyle w:val="CodeBlock"/>
      </w:pPr>
      <w:r>
        <w:t xml:space="preserve">  &lt;-&gt; N:N</w:t>
      </w:r>
    </w:p>
    <w:p>
      <w:pPr>
        <w:pStyle w:val="CodeBlock"/>
      </w:pPr>
      <w:r>
        <w:t>WorkspaceMembership</w:t>
      </w:r>
    </w:p>
    <w:p>
      <w:pPr>
        <w:pStyle w:val="CodeBlock"/>
      </w:pPr>
      <w:r>
        <w:t xml:space="preserve">  &lt;-&gt;</w:t>
      </w:r>
    </w:p>
    <w:p>
      <w:pPr>
        <w:pStyle w:val="CodeBlock"/>
      </w:pPr>
      <w:r>
        <w:t>Workspace</w:t>
      </w:r>
    </w:p>
    <w:p>
      <w:pPr>
        <w:pStyle w:val="CodeBlock"/>
      </w:pPr>
      <w:r/>
    </w:p>
    <w:p>
      <w:pPr>
        <w:pStyle w:val="CodeBlock"/>
      </w:pPr>
      <w:r>
        <w:t>Customer</w:t>
      </w:r>
    </w:p>
    <w:p>
      <w:pPr>
        <w:pStyle w:val="CodeBlock"/>
      </w:pPr>
      <w:r>
        <w:t xml:space="preserve">  1:N</w:t>
      </w:r>
    </w:p>
    <w:p>
      <w:pPr>
        <w:pStyle w:val="CodeBlock"/>
      </w:pPr>
      <w:r>
        <w:t>Subscription</w:t>
      </w:r>
    </w:p>
    <w:p>
      <w:pPr>
        <w:pStyle w:val="CodeBlock"/>
      </w:pPr>
      <w:r>
        <w:t xml:space="preserve">  N:N</w:t>
      </w:r>
    </w:p>
    <w:p>
      <w:pPr>
        <w:pStyle w:val="CodeBlock"/>
      </w:pPr>
      <w:r>
        <w:t>SubscriptionWorkspace</w:t>
      </w:r>
    </w:p>
    <w:p>
      <w:pPr>
        <w:pStyle w:val="CodeBlock"/>
      </w:pPr>
      <w:r>
        <w:t xml:space="preserve">  N:1</w:t>
      </w:r>
    </w:p>
    <w:p>
      <w:pPr>
        <w:pStyle w:val="CodeBlock"/>
      </w:pPr>
      <w:r>
        <w:t>Workspace</w:t>
      </w:r>
    </w:p>
    <w:p>
      <w:r>
        <w:t>Le modèle sépare volontairement l’identité, le contexte fonctionnel et la relation commerciale. Cette séparation permet à une même personne de gérer plusieurs familles, appartenir à une église et conserver un espace personnel sans dupliquer son identité.</w:t>
      </w:r>
    </w:p>
    <w:p>
      <w:pPr>
        <w:pStyle w:val="Heading2"/>
      </w:pPr>
      <w:r>
        <w:t>6.1 User</w:t>
      </w:r>
    </w:p>
    <w:p>
      <w:r>
        <w:t>Représente une identité globale capable de s’authentifier auprès d’Apologia.</w:t>
      </w:r>
    </w:p>
    <w:p>
      <w:pPr>
        <w:pStyle w:val="ListBullet"/>
      </w:pPr>
      <w:r>
        <w:t>Une seule identité pour tous les workspaces.</w:t>
      </w:r>
    </w:p>
    <w:p>
      <w:pPr>
        <w:pStyle w:val="ListBullet"/>
      </w:pPr>
      <w:r>
        <w:t>Peut être membre de zéro, un ou plusieurs workspaces.</w:t>
      </w:r>
    </w:p>
    <w:p>
      <w:pPr>
        <w:pStyle w:val="ListBullet"/>
      </w:pPr>
      <w:r>
        <w:t>Peut avoir un rôle différent dans chaque workspace.</w:t>
      </w:r>
    </w:p>
    <w:p>
      <w:pPr>
        <w:pStyle w:val="ListBullet"/>
      </w:pPr>
      <w:r>
        <w:t>Ne détermine pas directement qui paie le service.</w:t>
      </w:r>
    </w:p>
    <w:p>
      <w:pPr>
        <w:pStyle w:val="Heading2"/>
      </w:pPr>
      <w:r>
        <w:t>6.2 Customer</w:t>
      </w:r>
    </w:p>
    <w:p>
      <w:r>
        <w:t>Représente le contractant ou payeur.</w:t>
      </w:r>
    </w:p>
    <w:p>
      <w:pPr>
        <w:pStyle w:val="ListBullet"/>
      </w:pPr>
      <w:r>
        <w:t>Type V1 : Individual ou Organization.</w:t>
      </w:r>
    </w:p>
    <w:p>
      <w:pPr>
        <w:pStyle w:val="ListBullet"/>
      </w:pPr>
      <w:r>
        <w:t>Peut détenir plusieurs subscriptions.</w:t>
      </w:r>
    </w:p>
    <w:p>
      <w:pPr>
        <w:pStyle w:val="ListBullet"/>
      </w:pPr>
      <w:r>
        <w:t>Peut éventuellement avoir un utilisateur de contact/owner, mais Customer et User restent des concepts distincts.</w:t>
      </w:r>
    </w:p>
    <w:p>
      <w:pPr>
        <w:pStyle w:val="ListBullet"/>
      </w:pPr>
      <w:r>
        <w:t>Une même personne physique peut être Customer pour plusieurs subscriptions.</w:t>
      </w:r>
    </w:p>
    <w:p>
      <w:pPr>
        <w:pStyle w:val="Heading2"/>
      </w:pPr>
      <w:r>
        <w:t>6.3 Subscription</w:t>
      </w:r>
    </w:p>
    <w:p>
      <w:r>
        <w:t>Représente le droit commercial d’utiliser Apologia selon une offre et une période.</w:t>
      </w:r>
    </w:p>
    <w:p>
      <w:pPr>
        <w:pStyle w:val="ListBullet"/>
      </w:pPr>
      <w:r>
        <w:t>Appartient à un Customer.</w:t>
      </w:r>
    </w:p>
    <w:p>
      <w:pPr>
        <w:pStyle w:val="ListBullet"/>
      </w:pPr>
      <w:r>
        <w:t>Porte un PlanCode et un état de cycle de vie.</w:t>
      </w:r>
    </w:p>
    <w:p>
      <w:pPr>
        <w:pStyle w:val="ListBullet"/>
      </w:pPr>
      <w:r>
        <w:t>Peut couvrir un ou plusieurs workspaces.</w:t>
      </w:r>
    </w:p>
    <w:p>
      <w:pPr>
        <w:pStyle w:val="ListBullet"/>
      </w:pPr>
      <w:r>
        <w:t>Ne possède pas les données fonctionnelles des workspaces.</w:t>
      </w:r>
    </w:p>
    <w:p>
      <w:pPr>
        <w:pStyle w:val="ListBullet"/>
      </w:pPr>
      <w:r>
        <w:t>Sa suspension ou expiration n’entraîne aucune suppression automatique du workspace.</w:t>
      </w:r>
    </w:p>
    <w:p>
      <w:pPr>
        <w:pStyle w:val="Heading2"/>
      </w:pPr>
      <w:r>
        <w:t>6.4 Workspace</w:t>
      </w:r>
    </w:p>
    <w:p>
      <w:r>
        <w:t>Représente le contexte fonctionnel et la frontière principale d’autorisation.</w:t>
      </w:r>
    </w:p>
    <w:p>
      <w:pPr>
        <w:pStyle w:val="ListBullet"/>
      </w:pPr>
      <w:r>
        <w:t>Types V1 envisagés : Personal et Church.</w:t>
      </w:r>
    </w:p>
    <w:p>
      <w:pPr>
        <w:pStyle w:val="ListBullet"/>
      </w:pPr>
      <w:r>
        <w:t>Peut exister avant, pendant ou après une subscription.</w:t>
      </w:r>
    </w:p>
    <w:p>
      <w:pPr>
        <w:pStyle w:val="ListBullet"/>
      </w:pPr>
      <w:r>
        <w:t>Possède ses membres, rôles et paramètres.</w:t>
      </w:r>
    </w:p>
    <w:p>
      <w:pPr>
        <w:pStyle w:val="ListBullet"/>
      </w:pPr>
      <w:r>
        <w:t>Peut changer de couverture commerciale sans être recréé.</w:t>
      </w:r>
    </w:p>
    <w:p>
      <w:pPr>
        <w:pStyle w:val="ListBullet"/>
      </w:pPr>
      <w:r>
        <w:t>Un workspace n’est pas un synonyme de customer.</w:t>
      </w:r>
    </w:p>
    <w:p>
      <w:pPr>
        <w:pStyle w:val="Heading2"/>
      </w:pPr>
      <w:r>
        <w:t>6.5 WorkspaceMembership</w:t>
      </w:r>
    </w:p>
    <w:p>
      <w:r>
        <w:t>Relie un User à un Workspace et porte son rôle fonctionnel dans ce contexte.</w:t>
      </w:r>
    </w:p>
    <w:p>
      <w:pPr>
        <w:pStyle w:val="ListBullet"/>
      </w:pPr>
      <w:r>
        <w:t>Contient au minimum UserId, WorkspaceId, RoleId et Status.</w:t>
      </w:r>
    </w:p>
    <w:p>
      <w:pPr>
        <w:pStyle w:val="ListBullet"/>
      </w:pPr>
      <w:r>
        <w:t>Un même utilisateur peut avoir des memberships différents dans plusieurs workspaces.</w:t>
      </w:r>
    </w:p>
    <w:p>
      <w:pPr>
        <w:pStyle w:val="ListBullet"/>
      </w:pPr>
      <w:r>
        <w:t>Les exceptions de permission doivent être rattachées au membership, pas à l’identité globale.</w:t>
      </w:r>
    </w:p>
    <w:p>
      <w:pPr>
        <w:pStyle w:val="Heading2"/>
      </w:pPr>
      <w:r>
        <w:t>6.6 SubscriptionWorkspace</w:t>
      </w:r>
    </w:p>
    <w:p>
      <w:r>
        <w:t>Association entre une subscription et un workspace. Cette relation permet de dissocier explicitement le lifecycle commercial du lifecycle fonctionnel.</w:t>
      </w:r>
    </w:p>
    <w:p>
      <w:pPr>
        <w:pStyle w:val="ListBullet"/>
      </w:pPr>
      <w:r>
        <w:t>Peut comporter EffectiveFrom et EffectiveTo.</w:t>
      </w:r>
    </w:p>
    <w:p>
      <w:pPr>
        <w:pStyle w:val="ListBullet"/>
      </w:pPr>
      <w:r>
        <w:t>Permet le transfert futur d’un workspace d’une subscription à une autre.</w:t>
      </w:r>
    </w:p>
    <w:p>
      <w:pPr>
        <w:pStyle w:val="ListBullet"/>
      </w:pPr>
      <w:r>
        <w:t>Permet à une subscription future de couvrir plusieurs workspaces.</w:t>
      </w:r>
    </w:p>
    <w:p>
      <w:pPr>
        <w:pStyle w:val="Heading1"/>
      </w:pPr>
      <w:r>
        <w:t>7. Invariants de domaine</w:t>
      </w:r>
    </w:p>
    <w:p>
      <w:pPr>
        <w:pStyle w:val="ListNumber"/>
      </w:pPr>
      <w:r>
        <w:t>User != Customer.</w:t>
      </w:r>
    </w:p>
    <w:p>
      <w:pPr>
        <w:pStyle w:val="ListNumber"/>
      </w:pPr>
      <w:r>
        <w:t>Customer != Workspace.</w:t>
      </w:r>
    </w:p>
    <w:p>
      <w:pPr>
        <w:pStyle w:val="ListNumber"/>
      </w:pPr>
      <w:r>
        <w:t>Subscription != Workspace.</w:t>
      </w:r>
    </w:p>
    <w:p>
      <w:pPr>
        <w:pStyle w:val="ListNumber"/>
      </w:pPr>
      <w:r>
        <w:t>Workspace lifecycle != Subscription lifecycle.</w:t>
      </w:r>
    </w:p>
    <w:p>
      <w:pPr>
        <w:pStyle w:val="ListNumber"/>
      </w:pPr>
      <w:r>
        <w:t>Le workspace est la frontière fonctionnelle et de sécurité principale.</w:t>
      </w:r>
    </w:p>
    <w:p>
      <w:pPr>
        <w:pStyle w:val="ListNumber"/>
      </w:pPr>
      <w:r>
        <w:t>La subscription est une couverture commerciale, pas un conteneur de données.</w:t>
      </w:r>
    </w:p>
    <w:p>
      <w:pPr>
        <w:pStyle w:val="ListNumber"/>
      </w:pPr>
      <w:r>
        <w:t>Un utilisateur ne peut agir dans un workspace que via un membership valide ou un mécanisme d’administration plateforme explicitement autorisé.</w:t>
      </w:r>
    </w:p>
    <w:p>
      <w:pPr>
        <w:pStyle w:val="ListNumber"/>
      </w:pPr>
      <w:r>
        <w:t>Un rôle est évalué dans le contexte d’un workspace.</w:t>
      </w:r>
    </w:p>
    <w:p>
      <w:pPr>
        <w:pStyle w:val="ListNumber"/>
      </w:pPr>
      <w:r>
        <w:t>Une exception utilisateur ne peut pas créer une capacité que la plateforme ou l’offre commerciale interdit.</w:t>
      </w:r>
    </w:p>
    <w:p>
      <w:pPr>
        <w:pStyle w:val="ListNumber"/>
      </w:pPr>
      <w:r>
        <w:t>La suppression ou suspension commerciale ne doit pas provoquer de perte silencieuse de données.</w:t>
      </w:r>
    </w:p>
    <w:p>
      <w:pPr>
        <w:pStyle w:val="ListNumber"/>
      </w:pPr>
      <w:r>
        <w:t>Les œuvres protégées utilisées par Apologia ne deviennent pas directement accessibles du seul fait de la subscription.</w:t>
      </w:r>
    </w:p>
    <w:p>
      <w:pPr>
        <w:pStyle w:val="Heading1"/>
      </w:pPr>
      <w:r>
        <w:t>8. Modèle d’autorisation V1</w:t>
      </w:r>
    </w:p>
    <w:p>
      <w:r>
        <w:t>La V1 adopte un RBAC simple comme mécanisme principal. Les exceptions utilisateur sont autorisées, mais elles doivent rester rares, ciblées et auditées lorsqu’elles modifient des capacités sensibles.</w:t>
      </w:r>
    </w:p>
    <w:p>
      <w:pPr>
        <w:pStyle w:val="CodeBlock"/>
      </w:pPr>
      <w:r>
        <w:t>Platform hard policy</w:t>
      </w:r>
    </w:p>
    <w:p>
      <w:pPr>
        <w:pStyle w:val="CodeBlock"/>
      </w:pPr>
      <w:r>
        <w:t xml:space="preserve">        AND</w:t>
      </w:r>
    </w:p>
    <w:p>
      <w:pPr>
        <w:pStyle w:val="CodeBlock"/>
      </w:pPr>
      <w:r>
        <w:t>Commercial availability</w:t>
      </w:r>
    </w:p>
    <w:p>
      <w:pPr>
        <w:pStyle w:val="CodeBlock"/>
      </w:pPr>
      <w:r>
        <w:t xml:space="preserve">        AND</w:t>
      </w:r>
    </w:p>
    <w:p>
      <w:pPr>
        <w:pStyle w:val="CodeBlock"/>
      </w:pPr>
      <w:r>
        <w:t>Role permissions</w:t>
      </w:r>
    </w:p>
    <w:p>
      <w:pPr>
        <w:pStyle w:val="CodeBlock"/>
      </w:pPr>
      <w:r>
        <w:t xml:space="preserve">        +/-</w:t>
      </w:r>
    </w:p>
    <w:p>
      <w:pPr>
        <w:pStyle w:val="CodeBlock"/>
      </w:pPr>
      <w:r>
        <w:t>Membership user overrides</w:t>
      </w:r>
    </w:p>
    <w:p>
      <w:pPr>
        <w:pStyle w:val="CodeBlock"/>
      </w:pPr>
      <w:r>
        <w:t xml:space="preserve">        ↓</w:t>
      </w:r>
    </w:p>
    <w:p>
      <w:pPr>
        <w:pStyle w:val="CodeBlock"/>
      </w:pPr>
      <w:r>
        <w:t>Effective permission</w:t>
      </w:r>
    </w:p>
    <w:p>
      <w:pPr>
        <w:pStyle w:val="Decision"/>
      </w:pPr>
      <w:r>
        <w:t>Ordre de décision recommandé :</w:t>
      </w:r>
    </w:p>
    <w:p>
      <w:pPr>
        <w:pStyle w:val="ListNumber"/>
      </w:pPr>
      <w:r>
        <w:t>Une interdiction plateforme forte gagne toujours.</w:t>
      </w:r>
    </w:p>
    <w:p>
      <w:pPr>
        <w:pStyle w:val="ListNumber"/>
      </w:pPr>
      <w:r>
        <w:t>Une capacité non disponible commercialement est refusée.</w:t>
      </w:r>
    </w:p>
    <w:p>
      <w:pPr>
        <w:pStyle w:val="ListNumber"/>
      </w:pPr>
      <w:r>
        <w:t>Un override utilisateur explicite Deny gagne sur le rôle.</w:t>
      </w:r>
    </w:p>
    <w:p>
      <w:pPr>
        <w:pStyle w:val="ListNumber"/>
      </w:pPr>
      <w:r>
        <w:t>Un override utilisateur Allow peut compléter le rôle, sans dépasser le plafond plateforme/commercial.</w:t>
      </w:r>
    </w:p>
    <w:p>
      <w:pPr>
        <w:pStyle w:val="ListNumber"/>
      </w:pPr>
      <w:r>
        <w:t>Sinon, les permissions du rôle s’appliquent.</w:t>
      </w:r>
    </w:p>
    <w:p>
      <w:pPr>
        <w:pStyle w:val="ListNumber"/>
      </w:pPr>
      <w:r>
        <w:t>À défaut : Deny.</w:t>
      </w:r>
    </w:p>
    <w:p>
      <w:pPr>
        <w:pStyle w:val="Heading1"/>
      </w:pPr>
      <w:r>
        <w:t>9. Permissions V1 proposées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r>
              <w:rPr>
                <w:rFonts w:ascii="Aptos" w:hAnsi="Aptos"/>
                <w:b/>
                <w:sz w:val="18"/>
              </w:rPr>
              <w:t>Code</w:t>
            </w:r>
          </w:p>
        </w:tc>
        <w:tc>
          <w:tcPr>
            <w:tcW w:type="dxa" w:w="6336"/>
            <w:vAlign w:val="center"/>
            <w:shd w:fill="D9EAF7"/>
          </w:tcPr>
          <w:p>
            <w:r/>
            <w:r>
              <w:rPr>
                <w:rFonts w:ascii="Aptos" w:hAnsi="Aptos"/>
                <w:b/>
                <w:sz w:val="18"/>
              </w:rPr>
              <w:t>Permission</w:t>
            </w:r>
          </w:p>
        </w:tc>
        <w:tc>
          <w:tcPr>
            <w:tcW w:type="dxa" w:w="2016"/>
            <w:vAlign w:val="center"/>
            <w:shd w:fill="D9EAF7"/>
          </w:tcPr>
          <w:p>
            <w:r/>
            <w:r>
              <w:rPr>
                <w:rFonts w:ascii="Aptos" w:hAnsi="Aptos"/>
                <w:b/>
                <w:sz w:val="18"/>
              </w:rPr>
              <w:t>Catégorie</w:t>
            </w:r>
          </w:p>
        </w:tc>
      </w:tr>
      <w:tr>
        <w:tc>
          <w:tcPr>
            <w:tcW w:type="dxa" w:w="2592"/>
            <w:vAlign w:val="center"/>
          </w:tcPr>
          <w:p>
            <w:r/>
            <w:r>
              <w:rPr>
                <w:rFonts w:ascii="Aptos" w:hAnsi="Aptos"/>
                <w:b w:val="0"/>
                <w:sz w:val="18"/>
              </w:rPr>
              <w:t>workspace.view</w:t>
            </w:r>
          </w:p>
        </w:tc>
        <w:tc>
          <w:tcPr>
            <w:tcW w:type="dxa" w:w="6336"/>
            <w:vAlign w:val="center"/>
          </w:tcPr>
          <w:p>
            <w:r/>
            <w:r>
              <w:rPr>
                <w:rFonts w:ascii="Aptos" w:hAnsi="Aptos"/>
                <w:b w:val="0"/>
                <w:sz w:val="18"/>
              </w:rPr>
              <w:t>Accéder au workspace</w:t>
            </w:r>
          </w:p>
        </w:tc>
        <w:tc>
          <w:tcPr>
            <w:tcW w:type="dxa" w:w="2016"/>
            <w:vAlign w:val="center"/>
          </w:tcPr>
          <w:p>
            <w:r/>
            <w:r>
              <w:rPr>
                <w:rFonts w:ascii="Aptos" w:hAnsi="Aptos"/>
                <w:b w:val="0"/>
                <w:sz w:val="18"/>
              </w:rPr>
              <w:t>Fonctionnelle</w:t>
            </w:r>
          </w:p>
        </w:tc>
      </w:tr>
      <w:tr>
        <w:tc>
          <w:tcPr>
            <w:tcW w:type="dxa" w:w="2592"/>
            <w:vAlign w:val="center"/>
          </w:tcPr>
          <w:p>
            <w:r/>
            <w:r>
              <w:rPr>
                <w:rFonts w:ascii="Aptos" w:hAnsi="Aptos"/>
                <w:b w:val="0"/>
                <w:sz w:val="18"/>
              </w:rPr>
              <w:t>apologia.use</w:t>
            </w:r>
          </w:p>
        </w:tc>
        <w:tc>
          <w:tcPr>
            <w:tcW w:type="dxa" w:w="6336"/>
            <w:vAlign w:val="center"/>
          </w:tcPr>
          <w:p>
            <w:r/>
            <w:r>
              <w:rPr>
                <w:rFonts w:ascii="Aptos" w:hAnsi="Aptos"/>
                <w:b w:val="0"/>
                <w:sz w:val="18"/>
              </w:rPr>
              <w:t>Utiliser les fonctions principales d’Apologia</w:t>
            </w:r>
          </w:p>
        </w:tc>
        <w:tc>
          <w:tcPr>
            <w:tcW w:type="dxa" w:w="2016"/>
            <w:vAlign w:val="center"/>
          </w:tcPr>
          <w:p>
            <w:r/>
            <w:r>
              <w:rPr>
                <w:rFonts w:ascii="Aptos" w:hAnsi="Aptos"/>
                <w:b w:val="0"/>
                <w:sz w:val="18"/>
              </w:rPr>
              <w:t>Fonctionnelle</w:t>
            </w:r>
          </w:p>
        </w:tc>
      </w:tr>
      <w:tr>
        <w:tc>
          <w:tcPr>
            <w:tcW w:type="dxa" w:w="2592"/>
            <w:vAlign w:val="center"/>
          </w:tcPr>
          <w:p>
            <w:r/>
            <w:r>
              <w:rPr>
                <w:rFonts w:ascii="Aptos" w:hAnsi="Aptos"/>
                <w:b w:val="0"/>
                <w:sz w:val="18"/>
              </w:rPr>
              <w:t>research.advanced</w:t>
            </w:r>
          </w:p>
        </w:tc>
        <w:tc>
          <w:tcPr>
            <w:tcW w:type="dxa" w:w="6336"/>
            <w:vAlign w:val="center"/>
          </w:tcPr>
          <w:p>
            <w:r/>
            <w:r>
              <w:rPr>
                <w:rFonts w:ascii="Aptos" w:hAnsi="Aptos"/>
                <w:b w:val="0"/>
                <w:sz w:val="18"/>
              </w:rPr>
              <w:t>Utiliser les fonctions de recherche avancée</w:t>
            </w:r>
          </w:p>
        </w:tc>
        <w:tc>
          <w:tcPr>
            <w:tcW w:type="dxa" w:w="2016"/>
            <w:vAlign w:val="center"/>
          </w:tcPr>
          <w:p>
            <w:r/>
            <w:r>
              <w:rPr>
                <w:rFonts w:ascii="Aptos" w:hAnsi="Aptos"/>
                <w:b w:val="0"/>
                <w:sz w:val="18"/>
              </w:rPr>
              <w:t>Fonctionnelle</w:t>
            </w:r>
          </w:p>
        </w:tc>
      </w:tr>
      <w:tr>
        <w:tc>
          <w:tcPr>
            <w:tcW w:type="dxa" w:w="2592"/>
            <w:vAlign w:val="center"/>
          </w:tcPr>
          <w:p>
            <w:r/>
            <w:r>
              <w:rPr>
                <w:rFonts w:ascii="Aptos" w:hAnsi="Aptos"/>
                <w:b w:val="0"/>
                <w:sz w:val="18"/>
              </w:rPr>
              <w:t>documents.upload</w:t>
            </w:r>
          </w:p>
        </w:tc>
        <w:tc>
          <w:tcPr>
            <w:tcW w:type="dxa" w:w="6336"/>
            <w:vAlign w:val="center"/>
          </w:tcPr>
          <w:p>
            <w:r/>
            <w:r>
              <w:rPr>
                <w:rFonts w:ascii="Aptos" w:hAnsi="Aptos"/>
                <w:b w:val="0"/>
                <w:sz w:val="18"/>
              </w:rPr>
              <w:t>Ajouter des documents autorisés</w:t>
            </w:r>
          </w:p>
        </w:tc>
        <w:tc>
          <w:tcPr>
            <w:tcW w:type="dxa" w:w="2016"/>
            <w:vAlign w:val="center"/>
          </w:tcPr>
          <w:p>
            <w:r/>
            <w:r>
              <w:rPr>
                <w:rFonts w:ascii="Aptos" w:hAnsi="Aptos"/>
                <w:b w:val="0"/>
                <w:sz w:val="18"/>
              </w:rPr>
              <w:t>Fonctionnelle</w:t>
            </w:r>
          </w:p>
        </w:tc>
      </w:tr>
      <w:tr>
        <w:tc>
          <w:tcPr>
            <w:tcW w:type="dxa" w:w="2592"/>
            <w:vAlign w:val="center"/>
          </w:tcPr>
          <w:p>
            <w:r/>
            <w:r>
              <w:rPr>
                <w:rFonts w:ascii="Aptos" w:hAnsi="Aptos"/>
                <w:b w:val="0"/>
                <w:sz w:val="18"/>
              </w:rPr>
              <w:t>content.export</w:t>
            </w:r>
          </w:p>
        </w:tc>
        <w:tc>
          <w:tcPr>
            <w:tcW w:type="dxa" w:w="6336"/>
            <w:vAlign w:val="center"/>
          </w:tcPr>
          <w:p>
            <w:r/>
            <w:r>
              <w:rPr>
                <w:rFonts w:ascii="Aptos" w:hAnsi="Aptos"/>
                <w:b w:val="0"/>
                <w:sz w:val="18"/>
              </w:rPr>
              <w:t>Exporter du contenu autorisé</w:t>
            </w:r>
          </w:p>
        </w:tc>
        <w:tc>
          <w:tcPr>
            <w:tcW w:type="dxa" w:w="2016"/>
            <w:vAlign w:val="center"/>
          </w:tcPr>
          <w:p>
            <w:r/>
            <w:r>
              <w:rPr>
                <w:rFonts w:ascii="Aptos" w:hAnsi="Aptos"/>
                <w:b w:val="0"/>
                <w:sz w:val="18"/>
              </w:rPr>
              <w:t>Fonctionnelle</w:t>
            </w:r>
          </w:p>
        </w:tc>
      </w:tr>
      <w:tr>
        <w:tc>
          <w:tcPr>
            <w:tcW w:type="dxa" w:w="2592"/>
            <w:vAlign w:val="center"/>
          </w:tcPr>
          <w:p>
            <w:r/>
            <w:r>
              <w:rPr>
                <w:rFonts w:ascii="Aptos" w:hAnsi="Aptos"/>
                <w:b w:val="0"/>
                <w:sz w:val="18"/>
              </w:rPr>
              <w:t>members.manage</w:t>
            </w:r>
          </w:p>
        </w:tc>
        <w:tc>
          <w:tcPr>
            <w:tcW w:type="dxa" w:w="6336"/>
            <w:vAlign w:val="center"/>
          </w:tcPr>
          <w:p>
            <w:r/>
            <w:r>
              <w:rPr>
                <w:rFonts w:ascii="Aptos" w:hAnsi="Aptos"/>
                <w:b w:val="0"/>
                <w:sz w:val="18"/>
              </w:rPr>
              <w:t>Inviter, suspendre ou retirer des membres</w:t>
            </w:r>
          </w:p>
        </w:tc>
        <w:tc>
          <w:tcPr>
            <w:tcW w:type="dxa" w:w="2016"/>
            <w:vAlign w:val="center"/>
          </w:tcPr>
          <w:p>
            <w:r/>
            <w:r>
              <w:rPr>
                <w:rFonts w:ascii="Aptos" w:hAnsi="Aptos"/>
                <w:b w:val="0"/>
                <w:sz w:val="18"/>
              </w:rPr>
              <w:t>Administrative</w:t>
            </w:r>
          </w:p>
        </w:tc>
      </w:tr>
      <w:tr>
        <w:tc>
          <w:tcPr>
            <w:tcW w:type="dxa" w:w="2592"/>
            <w:vAlign w:val="center"/>
          </w:tcPr>
          <w:p>
            <w:r/>
            <w:r>
              <w:rPr>
                <w:rFonts w:ascii="Aptos" w:hAnsi="Aptos"/>
                <w:b w:val="0"/>
                <w:sz w:val="18"/>
              </w:rPr>
              <w:t>roles.manage</w:t>
            </w:r>
          </w:p>
        </w:tc>
        <w:tc>
          <w:tcPr>
            <w:tcW w:type="dxa" w:w="6336"/>
            <w:vAlign w:val="center"/>
          </w:tcPr>
          <w:p>
            <w:r/>
            <w:r>
              <w:rPr>
                <w:rFonts w:ascii="Aptos" w:hAnsi="Aptos"/>
                <w:b w:val="0"/>
                <w:sz w:val="18"/>
              </w:rPr>
              <w:t>Attribuer rôles et exceptions autorisées</w:t>
            </w:r>
          </w:p>
        </w:tc>
        <w:tc>
          <w:tcPr>
            <w:tcW w:type="dxa" w:w="2016"/>
            <w:vAlign w:val="center"/>
          </w:tcPr>
          <w:p>
            <w:r/>
            <w:r>
              <w:rPr>
                <w:rFonts w:ascii="Aptos" w:hAnsi="Aptos"/>
                <w:b w:val="0"/>
                <w:sz w:val="18"/>
              </w:rPr>
              <w:t>Administrative</w:t>
            </w:r>
          </w:p>
        </w:tc>
      </w:tr>
      <w:tr>
        <w:tc>
          <w:tcPr>
            <w:tcW w:type="dxa" w:w="2592"/>
            <w:vAlign w:val="center"/>
          </w:tcPr>
          <w:p>
            <w:r/>
            <w:r>
              <w:rPr>
                <w:rFonts w:ascii="Aptos" w:hAnsi="Aptos"/>
                <w:b w:val="0"/>
                <w:sz w:val="18"/>
              </w:rPr>
              <w:t>workspace.manage</w:t>
            </w:r>
          </w:p>
        </w:tc>
        <w:tc>
          <w:tcPr>
            <w:tcW w:type="dxa" w:w="6336"/>
            <w:vAlign w:val="center"/>
          </w:tcPr>
          <w:p>
            <w:r/>
            <w:r>
              <w:rPr>
                <w:rFonts w:ascii="Aptos" w:hAnsi="Aptos"/>
                <w:b w:val="0"/>
                <w:sz w:val="18"/>
              </w:rPr>
              <w:t>Modifier les paramètres du workspace</w:t>
            </w:r>
          </w:p>
        </w:tc>
        <w:tc>
          <w:tcPr>
            <w:tcW w:type="dxa" w:w="2016"/>
            <w:vAlign w:val="center"/>
          </w:tcPr>
          <w:p>
            <w:r/>
            <w:r>
              <w:rPr>
                <w:rFonts w:ascii="Aptos" w:hAnsi="Aptos"/>
                <w:b w:val="0"/>
                <w:sz w:val="18"/>
              </w:rPr>
              <w:t>Administrative</w:t>
            </w:r>
          </w:p>
        </w:tc>
      </w:tr>
      <w:tr>
        <w:tc>
          <w:tcPr>
            <w:tcW w:type="dxa" w:w="2592"/>
            <w:vAlign w:val="center"/>
          </w:tcPr>
          <w:p>
            <w:r/>
            <w:r>
              <w:rPr>
                <w:rFonts w:ascii="Aptos" w:hAnsi="Aptos"/>
                <w:b w:val="0"/>
                <w:sz w:val="18"/>
              </w:rPr>
              <w:t>billing.view</w:t>
            </w:r>
          </w:p>
        </w:tc>
        <w:tc>
          <w:tcPr>
            <w:tcW w:type="dxa" w:w="6336"/>
            <w:vAlign w:val="center"/>
          </w:tcPr>
          <w:p>
            <w:r/>
            <w:r>
              <w:rPr>
                <w:rFonts w:ascii="Aptos" w:hAnsi="Aptos"/>
                <w:b w:val="0"/>
                <w:sz w:val="18"/>
              </w:rPr>
              <w:t>Voir l’état commercial et les informations de subscription</w:t>
            </w:r>
          </w:p>
        </w:tc>
        <w:tc>
          <w:tcPr>
            <w:tcW w:type="dxa" w:w="2016"/>
            <w:vAlign w:val="center"/>
          </w:tcPr>
          <w:p>
            <w:r/>
            <w:r>
              <w:rPr>
                <w:rFonts w:ascii="Aptos" w:hAnsi="Aptos"/>
                <w:b w:val="0"/>
                <w:sz w:val="18"/>
              </w:rPr>
              <w:t>Administrative</w:t>
            </w:r>
          </w:p>
        </w:tc>
      </w:tr>
      <w:tr>
        <w:tc>
          <w:tcPr>
            <w:tcW w:type="dxa" w:w="2592"/>
            <w:vAlign w:val="center"/>
          </w:tcPr>
          <w:p>
            <w:r/>
            <w:r>
              <w:rPr>
                <w:rFonts w:ascii="Aptos" w:hAnsi="Aptos"/>
                <w:b w:val="0"/>
                <w:sz w:val="18"/>
              </w:rPr>
              <w:t>billing.manage</w:t>
            </w:r>
          </w:p>
        </w:tc>
        <w:tc>
          <w:tcPr>
            <w:tcW w:type="dxa" w:w="6336"/>
            <w:vAlign w:val="center"/>
          </w:tcPr>
          <w:p>
            <w:r/>
            <w:r>
              <w:rPr>
                <w:rFonts w:ascii="Aptos" w:hAnsi="Aptos"/>
                <w:b w:val="0"/>
                <w:sz w:val="18"/>
              </w:rPr>
              <w:t>Modifier les informations commerciales autorisées</w:t>
            </w:r>
          </w:p>
        </w:tc>
        <w:tc>
          <w:tcPr>
            <w:tcW w:type="dxa" w:w="2016"/>
            <w:vAlign w:val="center"/>
          </w:tcPr>
          <w:p>
            <w:r/>
            <w:r>
              <w:rPr>
                <w:rFonts w:ascii="Aptos" w:hAnsi="Aptos"/>
                <w:b w:val="0"/>
                <w:sz w:val="18"/>
              </w:rPr>
              <w:t>Administrative</w:t>
            </w:r>
          </w:p>
        </w:tc>
      </w:tr>
    </w:tbl>
    <w:p/>
    <w:p>
      <w:r>
        <w:t>Cette liste est volontairement courte. La V1 ne doit pas dériver vers une permission par sous-fonction technique (par exemple search.lexical, search.vector, rag.query, agent.invoke) tant qu’un besoin produit ou sécurité distinct n’est pas démontré.</w:t>
      </w:r>
    </w:p>
    <w:p>
      <w:pPr>
        <w:pStyle w:val="Heading1"/>
      </w:pPr>
      <w:r>
        <w:t>10. Rôles workspace V1</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AF7"/>
          </w:tcPr>
          <w:p>
            <w:r/>
            <w:r>
              <w:rPr>
                <w:rFonts w:ascii="Aptos" w:hAnsi="Aptos"/>
                <w:b/>
                <w:sz w:val="18"/>
              </w:rPr>
              <w:t>Rôle</w:t>
            </w:r>
          </w:p>
        </w:tc>
        <w:tc>
          <w:tcPr>
            <w:tcW w:type="dxa" w:w="8064"/>
            <w:vAlign w:val="center"/>
            <w:shd w:fill="D9EAF7"/>
          </w:tcPr>
          <w:p>
            <w:r/>
            <w:r>
              <w:rPr>
                <w:rFonts w:ascii="Aptos" w:hAnsi="Aptos"/>
                <w:b/>
                <w:sz w:val="18"/>
              </w:rPr>
              <w:t>Finalité</w:t>
            </w:r>
          </w:p>
        </w:tc>
      </w:tr>
      <w:tr>
        <w:tc>
          <w:tcPr>
            <w:tcW w:type="dxa" w:w="3024"/>
            <w:vAlign w:val="center"/>
          </w:tcPr>
          <w:p>
            <w:r/>
            <w:r>
              <w:rPr>
                <w:rFonts w:ascii="Aptos" w:hAnsi="Aptos"/>
                <w:b w:val="0"/>
                <w:sz w:val="18"/>
              </w:rPr>
              <w:t>RestrictedMember</w:t>
            </w:r>
          </w:p>
        </w:tc>
        <w:tc>
          <w:tcPr>
            <w:tcW w:type="dxa" w:w="8064"/>
            <w:vAlign w:val="center"/>
          </w:tcPr>
          <w:p>
            <w:r/>
            <w:r>
              <w:rPr>
                <w:rFonts w:ascii="Aptos" w:hAnsi="Aptos"/>
                <w:b w:val="0"/>
                <w:sz w:val="18"/>
              </w:rPr>
              <w:t>Accès fonctionnel de base, adapté aux comptes volontairement limités.</w:t>
            </w:r>
          </w:p>
        </w:tc>
      </w:tr>
      <w:tr>
        <w:tc>
          <w:tcPr>
            <w:tcW w:type="dxa" w:w="3024"/>
            <w:vAlign w:val="center"/>
          </w:tcPr>
          <w:p>
            <w:r/>
            <w:r>
              <w:rPr>
                <w:rFonts w:ascii="Aptos" w:hAnsi="Aptos"/>
                <w:b w:val="0"/>
                <w:sz w:val="18"/>
              </w:rPr>
              <w:t>Member</w:t>
            </w:r>
          </w:p>
        </w:tc>
        <w:tc>
          <w:tcPr>
            <w:tcW w:type="dxa" w:w="8064"/>
            <w:vAlign w:val="center"/>
          </w:tcPr>
          <w:p>
            <w:r/>
            <w:r>
              <w:rPr>
                <w:rFonts w:ascii="Aptos" w:hAnsi="Aptos"/>
                <w:b w:val="0"/>
                <w:sz w:val="18"/>
              </w:rPr>
              <w:t>Utilisateur standard du workspace.</w:t>
            </w:r>
          </w:p>
        </w:tc>
      </w:tr>
      <w:tr>
        <w:tc>
          <w:tcPr>
            <w:tcW w:type="dxa" w:w="3024"/>
            <w:vAlign w:val="center"/>
          </w:tcPr>
          <w:p>
            <w:r/>
            <w:r>
              <w:rPr>
                <w:rFonts w:ascii="Aptos" w:hAnsi="Aptos"/>
                <w:b w:val="0"/>
                <w:sz w:val="18"/>
              </w:rPr>
              <w:t>ContentContributor</w:t>
            </w:r>
          </w:p>
        </w:tc>
        <w:tc>
          <w:tcPr>
            <w:tcW w:type="dxa" w:w="8064"/>
            <w:vAlign w:val="center"/>
          </w:tcPr>
          <w:p>
            <w:r/>
            <w:r>
              <w:rPr>
                <w:rFonts w:ascii="Aptos" w:hAnsi="Aptos"/>
                <w:b w:val="0"/>
                <w:sz w:val="18"/>
              </w:rPr>
              <w:t>Utilisateur autorisé à contribuer du contenu sans administration générale.</w:t>
            </w:r>
          </w:p>
        </w:tc>
      </w:tr>
      <w:tr>
        <w:tc>
          <w:tcPr>
            <w:tcW w:type="dxa" w:w="3024"/>
            <w:vAlign w:val="center"/>
          </w:tcPr>
          <w:p>
            <w:r/>
            <w:r>
              <w:rPr>
                <w:rFonts w:ascii="Aptos" w:hAnsi="Aptos"/>
                <w:b w:val="0"/>
                <w:sz w:val="18"/>
              </w:rPr>
              <w:t>MemberManager</w:t>
            </w:r>
          </w:p>
        </w:tc>
        <w:tc>
          <w:tcPr>
            <w:tcW w:type="dxa" w:w="8064"/>
            <w:vAlign w:val="center"/>
          </w:tcPr>
          <w:p>
            <w:r/>
            <w:r>
              <w:rPr>
                <w:rFonts w:ascii="Aptos" w:hAnsi="Aptos"/>
                <w:b w:val="0"/>
                <w:sz w:val="18"/>
              </w:rPr>
              <w:t>Gestion des membres et attribution limitée de rôles non privilégiés.</w:t>
            </w:r>
          </w:p>
        </w:tc>
      </w:tr>
      <w:tr>
        <w:tc>
          <w:tcPr>
            <w:tcW w:type="dxa" w:w="3024"/>
            <w:vAlign w:val="center"/>
          </w:tcPr>
          <w:p>
            <w:r/>
            <w:r>
              <w:rPr>
                <w:rFonts w:ascii="Aptos" w:hAnsi="Aptos"/>
                <w:b w:val="0"/>
                <w:sz w:val="18"/>
              </w:rPr>
              <w:t>BillingAdmin</w:t>
            </w:r>
          </w:p>
        </w:tc>
        <w:tc>
          <w:tcPr>
            <w:tcW w:type="dxa" w:w="8064"/>
            <w:vAlign w:val="center"/>
          </w:tcPr>
          <w:p>
            <w:r/>
            <w:r>
              <w:rPr>
                <w:rFonts w:ascii="Aptos" w:hAnsi="Aptos"/>
                <w:b w:val="0"/>
                <w:sz w:val="18"/>
              </w:rPr>
              <w:t>Gestion commerciale, sans accès fonctionnel implicite aux contenus.</w:t>
            </w:r>
          </w:p>
        </w:tc>
      </w:tr>
      <w:tr>
        <w:tc>
          <w:tcPr>
            <w:tcW w:type="dxa" w:w="3024"/>
            <w:vAlign w:val="center"/>
          </w:tcPr>
          <w:p>
            <w:r/>
            <w:r>
              <w:rPr>
                <w:rFonts w:ascii="Aptos" w:hAnsi="Aptos"/>
                <w:b w:val="0"/>
                <w:sz w:val="18"/>
              </w:rPr>
              <w:t>WorkspaceAdmin</w:t>
            </w:r>
          </w:p>
        </w:tc>
        <w:tc>
          <w:tcPr>
            <w:tcW w:type="dxa" w:w="8064"/>
            <w:vAlign w:val="center"/>
          </w:tcPr>
          <w:p>
            <w:r/>
            <w:r>
              <w:rPr>
                <w:rFonts w:ascii="Aptos" w:hAnsi="Aptos"/>
                <w:b w:val="0"/>
                <w:sz w:val="18"/>
              </w:rPr>
              <w:t>Administration opérationnelle du workspace, hors modification commerciale complète.</w:t>
            </w:r>
          </w:p>
        </w:tc>
      </w:tr>
      <w:tr>
        <w:tc>
          <w:tcPr>
            <w:tcW w:type="dxa" w:w="3024"/>
            <w:vAlign w:val="center"/>
          </w:tcPr>
          <w:p>
            <w:r/>
            <w:r>
              <w:rPr>
                <w:rFonts w:ascii="Aptos" w:hAnsi="Aptos"/>
                <w:b w:val="0"/>
                <w:sz w:val="18"/>
              </w:rPr>
              <w:t>WorkspaceOwner</w:t>
            </w:r>
          </w:p>
        </w:tc>
        <w:tc>
          <w:tcPr>
            <w:tcW w:type="dxa" w:w="8064"/>
            <w:vAlign w:val="center"/>
          </w:tcPr>
          <w:p>
            <w:r/>
            <w:r>
              <w:rPr>
                <w:rFonts w:ascii="Aptos" w:hAnsi="Aptos"/>
                <w:b w:val="0"/>
                <w:sz w:val="18"/>
              </w:rPr>
              <w:t>Autorité locale maximale dans les limites plateforme et commerciales.</w:t>
            </w:r>
          </w:p>
        </w:tc>
      </w:tr>
    </w:tbl>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2448"/>
            <w:vAlign w:val="center"/>
            <w:shd w:fill="D9EAF7"/>
          </w:tcPr>
          <w:p>
            <w:r/>
            <w:r>
              <w:rPr>
                <w:rFonts w:ascii="Aptos" w:hAnsi="Aptos"/>
                <w:b/>
                <w:sz w:val="18"/>
              </w:rPr>
              <w:t>Permission</w:t>
            </w:r>
          </w:p>
        </w:tc>
        <w:tc>
          <w:tcPr>
            <w:tcW w:type="dxa" w:w="1152"/>
            <w:vAlign w:val="center"/>
            <w:shd w:fill="D9EAF7"/>
          </w:tcPr>
          <w:p>
            <w:r/>
            <w:r>
              <w:rPr>
                <w:rFonts w:ascii="Aptos" w:hAnsi="Aptos"/>
                <w:b/>
                <w:sz w:val="18"/>
              </w:rPr>
              <w:t>Restricted</w:t>
            </w:r>
          </w:p>
        </w:tc>
        <w:tc>
          <w:tcPr>
            <w:tcW w:type="dxa" w:w="1008"/>
            <w:vAlign w:val="center"/>
            <w:shd w:fill="D9EAF7"/>
          </w:tcPr>
          <w:p>
            <w:r/>
            <w:r>
              <w:rPr>
                <w:rFonts w:ascii="Aptos" w:hAnsi="Aptos"/>
                <w:b/>
                <w:sz w:val="18"/>
              </w:rPr>
              <w:t>Member</w:t>
            </w:r>
          </w:p>
        </w:tc>
        <w:tc>
          <w:tcPr>
            <w:tcW w:type="dxa" w:w="1296"/>
            <w:vAlign w:val="center"/>
            <w:shd w:fill="D9EAF7"/>
          </w:tcPr>
          <w:p>
            <w:r/>
            <w:r>
              <w:rPr>
                <w:rFonts w:ascii="Aptos" w:hAnsi="Aptos"/>
                <w:b/>
                <w:sz w:val="18"/>
              </w:rPr>
              <w:t>Contributor</w:t>
            </w:r>
          </w:p>
        </w:tc>
        <w:tc>
          <w:tcPr>
            <w:tcW w:type="dxa" w:w="1152"/>
            <w:vAlign w:val="center"/>
            <w:shd w:fill="D9EAF7"/>
          </w:tcPr>
          <w:p>
            <w:r/>
            <w:r>
              <w:rPr>
                <w:rFonts w:ascii="Aptos" w:hAnsi="Aptos"/>
                <w:b/>
                <w:sz w:val="18"/>
              </w:rPr>
              <w:t>MemberMgr</w:t>
            </w:r>
          </w:p>
        </w:tc>
        <w:tc>
          <w:tcPr>
            <w:tcW w:type="dxa" w:w="1008"/>
            <w:vAlign w:val="center"/>
            <w:shd w:fill="D9EAF7"/>
          </w:tcPr>
          <w:p>
            <w:r/>
            <w:r>
              <w:rPr>
                <w:rFonts w:ascii="Aptos" w:hAnsi="Aptos"/>
                <w:b/>
                <w:sz w:val="18"/>
              </w:rPr>
              <w:t>Billing</w:t>
            </w:r>
          </w:p>
        </w:tc>
        <w:tc>
          <w:tcPr>
            <w:tcW w:type="dxa" w:w="1008"/>
            <w:vAlign w:val="center"/>
            <w:shd w:fill="D9EAF7"/>
          </w:tcPr>
          <w:p>
            <w:r/>
            <w:r>
              <w:rPr>
                <w:rFonts w:ascii="Aptos" w:hAnsi="Aptos"/>
                <w:b/>
                <w:sz w:val="18"/>
              </w:rPr>
              <w:t>Admin</w:t>
            </w:r>
          </w:p>
        </w:tc>
        <w:tc>
          <w:tcPr>
            <w:tcW w:type="dxa" w:w="1008"/>
            <w:vAlign w:val="center"/>
            <w:shd w:fill="D9EAF7"/>
          </w:tcPr>
          <w:p>
            <w:r/>
            <w:r>
              <w:rPr>
                <w:rFonts w:ascii="Aptos" w:hAnsi="Aptos"/>
                <w:b/>
                <w:sz w:val="18"/>
              </w:rPr>
              <w:t>Owner</w:t>
            </w:r>
          </w:p>
        </w:tc>
      </w:tr>
      <w:tr>
        <w:tc>
          <w:tcPr>
            <w:tcW w:type="dxa" w:w="2448"/>
            <w:vAlign w:val="center"/>
          </w:tcPr>
          <w:p>
            <w:r/>
            <w:r>
              <w:rPr>
                <w:rFonts w:ascii="Aptos" w:hAnsi="Aptos"/>
                <w:b w:val="0"/>
                <w:sz w:val="18"/>
              </w:rPr>
              <w:t>workspace.view</w:t>
            </w:r>
          </w:p>
        </w:tc>
        <w:tc>
          <w:tcPr>
            <w:tcW w:type="dxa" w:w="1152"/>
            <w:vAlign w:val="center"/>
          </w:tcPr>
          <w:p>
            <w:r>
              <w:t>Yes</w:t>
            </w:r>
            <w:r>
              <w:rPr>
                <w:rFonts w:ascii="Aptos" w:hAnsi="Aptos"/>
                <w:b w:val="0"/>
                <w:sz w:val="18"/>
              </w:rPr>
            </w:r>
          </w:p>
        </w:tc>
        <w:tc>
          <w:tcPr>
            <w:tcW w:type="dxa" w:w="1008"/>
            <w:vAlign w:val="center"/>
          </w:tcPr>
          <w:p>
            <w:r>
              <w:t>Yes</w:t>
            </w:r>
            <w:r>
              <w:rPr>
                <w:rFonts w:ascii="Aptos" w:hAnsi="Aptos"/>
                <w:b w:val="0"/>
                <w:sz w:val="18"/>
              </w:rPr>
            </w:r>
          </w:p>
        </w:tc>
        <w:tc>
          <w:tcPr>
            <w:tcW w:type="dxa" w:w="1296"/>
            <w:vAlign w:val="center"/>
          </w:tcPr>
          <w:p>
            <w:r>
              <w:t>Yes</w:t>
            </w:r>
            <w:r>
              <w:rPr>
                <w:rFonts w:ascii="Aptos" w:hAnsi="Aptos"/>
                <w:b w:val="0"/>
                <w:sz w:val="18"/>
              </w:rPr>
            </w:r>
          </w:p>
        </w:tc>
        <w:tc>
          <w:tcPr>
            <w:tcW w:type="dxa" w:w="1152"/>
            <w:vAlign w:val="center"/>
          </w:tcPr>
          <w:p>
            <w:r>
              <w:t>Yes</w:t>
            </w:r>
            <w:r>
              <w:rPr>
                <w:rFonts w:ascii="Aptos" w:hAnsi="Aptos"/>
                <w:b w:val="0"/>
                <w:sz w:val="18"/>
              </w:rPr>
            </w:r>
          </w:p>
        </w:tc>
        <w:tc>
          <w:tcPr>
            <w:tcW w:type="dxa" w:w="1008"/>
            <w:vAlign w:val="center"/>
          </w:tcPr>
          <w:p>
            <w:r>
              <w:t>Yes</w:t>
            </w:r>
            <w:r>
              <w:rPr>
                <w:rFonts w:ascii="Aptos" w:hAnsi="Aptos"/>
                <w:b w:val="0"/>
                <w:sz w:val="18"/>
              </w:rPr>
            </w:r>
          </w:p>
        </w:tc>
        <w:tc>
          <w:tcPr>
            <w:tcW w:type="dxa" w:w="1008"/>
            <w:vAlign w:val="center"/>
          </w:tcPr>
          <w:p>
            <w:r>
              <w:t>Yes</w:t>
            </w:r>
            <w:r>
              <w:rPr>
                <w:rFonts w:ascii="Aptos" w:hAnsi="Aptos"/>
                <w:b w:val="0"/>
                <w:sz w:val="18"/>
              </w:rPr>
            </w:r>
          </w:p>
        </w:tc>
        <w:tc>
          <w:tcPr>
            <w:tcW w:type="dxa" w:w="1008"/>
            <w:vAlign w:val="center"/>
          </w:tcPr>
          <w:p>
            <w:r>
              <w:t>Yes</w:t>
            </w:r>
            <w:r>
              <w:rPr>
                <w:rFonts w:ascii="Aptos" w:hAnsi="Aptos"/>
                <w:b w:val="0"/>
                <w:sz w:val="18"/>
              </w:rPr>
            </w:r>
          </w:p>
        </w:tc>
      </w:tr>
      <w:tr>
        <w:tc>
          <w:tcPr>
            <w:tcW w:type="dxa" w:w="2448"/>
            <w:vAlign w:val="center"/>
          </w:tcPr>
          <w:p>
            <w:r/>
            <w:r>
              <w:rPr>
                <w:rFonts w:ascii="Aptos" w:hAnsi="Aptos"/>
                <w:b w:val="0"/>
                <w:sz w:val="18"/>
              </w:rPr>
              <w:t>apologia.use</w:t>
            </w:r>
          </w:p>
        </w:tc>
        <w:tc>
          <w:tcPr>
            <w:tcW w:type="dxa" w:w="1152"/>
            <w:vAlign w:val="center"/>
          </w:tcPr>
          <w:p>
            <w:r>
              <w:t>Yes</w:t>
            </w:r>
            <w:r>
              <w:rPr>
                <w:rFonts w:ascii="Aptos" w:hAnsi="Aptos"/>
                <w:b w:val="0"/>
                <w:sz w:val="18"/>
              </w:rPr>
            </w:r>
          </w:p>
        </w:tc>
        <w:tc>
          <w:tcPr>
            <w:tcW w:type="dxa" w:w="1008"/>
            <w:vAlign w:val="center"/>
          </w:tcPr>
          <w:p>
            <w:r>
              <w:t>Yes</w:t>
            </w:r>
            <w:r>
              <w:rPr>
                <w:rFonts w:ascii="Aptos" w:hAnsi="Aptos"/>
                <w:b w:val="0"/>
                <w:sz w:val="18"/>
              </w:rPr>
            </w:r>
          </w:p>
        </w:tc>
        <w:tc>
          <w:tcPr>
            <w:tcW w:type="dxa" w:w="1296"/>
            <w:vAlign w:val="center"/>
          </w:tcPr>
          <w:p>
            <w:r>
              <w:t>Yes</w:t>
            </w:r>
            <w:r>
              <w:rPr>
                <w:rFonts w:ascii="Aptos" w:hAnsi="Aptos"/>
                <w:b w:val="0"/>
                <w:sz w:val="18"/>
              </w:rPr>
            </w:r>
          </w:p>
        </w:tc>
        <w:tc>
          <w:tcPr>
            <w:tcW w:type="dxa" w:w="1152"/>
            <w:vAlign w:val="center"/>
          </w:tcPr>
          <w:p>
            <w:r>
              <w:t>Yes</w:t>
            </w:r>
            <w:r>
              <w:rPr>
                <w:rFonts w:ascii="Aptos" w:hAnsi="Aptos"/>
                <w:b w:val="0"/>
                <w:sz w:val="18"/>
              </w:rPr>
            </w:r>
          </w:p>
        </w:tc>
        <w:tc>
          <w:tcPr>
            <w:tcW w:type="dxa" w:w="1008"/>
            <w:vAlign w:val="center"/>
          </w:tcPr>
          <w:p>
            <w:r>
              <w:t>No</w:t>
            </w:r>
            <w:r>
              <w:rPr>
                <w:rFonts w:ascii="Aptos" w:hAnsi="Aptos"/>
                <w:b w:val="0"/>
                <w:sz w:val="18"/>
              </w:rPr>
            </w:r>
          </w:p>
        </w:tc>
        <w:tc>
          <w:tcPr>
            <w:tcW w:type="dxa" w:w="1008"/>
            <w:vAlign w:val="center"/>
          </w:tcPr>
          <w:p>
            <w:r>
              <w:t>Yes</w:t>
            </w:r>
            <w:r>
              <w:rPr>
                <w:rFonts w:ascii="Aptos" w:hAnsi="Aptos"/>
                <w:b w:val="0"/>
                <w:sz w:val="18"/>
              </w:rPr>
            </w:r>
          </w:p>
        </w:tc>
        <w:tc>
          <w:tcPr>
            <w:tcW w:type="dxa" w:w="1008"/>
            <w:vAlign w:val="center"/>
          </w:tcPr>
          <w:p>
            <w:r>
              <w:t>Yes</w:t>
            </w:r>
            <w:r>
              <w:rPr>
                <w:rFonts w:ascii="Aptos" w:hAnsi="Aptos"/>
                <w:b w:val="0"/>
                <w:sz w:val="18"/>
              </w:rPr>
            </w:r>
          </w:p>
        </w:tc>
      </w:tr>
      <w:tr>
        <w:tc>
          <w:tcPr>
            <w:tcW w:type="dxa" w:w="2448"/>
            <w:vAlign w:val="center"/>
          </w:tcPr>
          <w:p>
            <w:r/>
            <w:r>
              <w:rPr>
                <w:rFonts w:ascii="Aptos" w:hAnsi="Aptos"/>
                <w:b w:val="0"/>
                <w:sz w:val="18"/>
              </w:rPr>
              <w:t>research.advanced</w:t>
            </w:r>
          </w:p>
        </w:tc>
        <w:tc>
          <w:tcPr>
            <w:tcW w:type="dxa" w:w="1152"/>
            <w:vAlign w:val="center"/>
          </w:tcPr>
          <w:p>
            <w:r>
              <w:t>No</w:t>
            </w:r>
            <w:r>
              <w:rPr>
                <w:rFonts w:ascii="Aptos" w:hAnsi="Aptos"/>
                <w:b w:val="0"/>
                <w:sz w:val="18"/>
              </w:rPr>
            </w:r>
          </w:p>
        </w:tc>
        <w:tc>
          <w:tcPr>
            <w:tcW w:type="dxa" w:w="1008"/>
            <w:vAlign w:val="center"/>
          </w:tcPr>
          <w:p>
            <w:r>
              <w:t>Yes*</w:t>
            </w:r>
            <w:r>
              <w:rPr>
                <w:rFonts w:ascii="Aptos" w:hAnsi="Aptos"/>
                <w:b w:val="0"/>
                <w:sz w:val="18"/>
              </w:rPr>
            </w:r>
          </w:p>
        </w:tc>
        <w:tc>
          <w:tcPr>
            <w:tcW w:type="dxa" w:w="1296"/>
            <w:vAlign w:val="center"/>
          </w:tcPr>
          <w:p>
            <w:r>
              <w:t>Yes*</w:t>
            </w:r>
            <w:r>
              <w:rPr>
                <w:rFonts w:ascii="Aptos" w:hAnsi="Aptos"/>
                <w:b w:val="0"/>
                <w:sz w:val="18"/>
              </w:rPr>
            </w:r>
          </w:p>
        </w:tc>
        <w:tc>
          <w:tcPr>
            <w:tcW w:type="dxa" w:w="1152"/>
            <w:vAlign w:val="center"/>
          </w:tcPr>
          <w:p>
            <w:r>
              <w:t>Yes*</w:t>
            </w:r>
            <w:r>
              <w:rPr>
                <w:rFonts w:ascii="Aptos" w:hAnsi="Aptos"/>
                <w:b w:val="0"/>
                <w:sz w:val="18"/>
              </w:rPr>
            </w:r>
          </w:p>
        </w:tc>
        <w:tc>
          <w:tcPr>
            <w:tcW w:type="dxa" w:w="1008"/>
            <w:vAlign w:val="center"/>
          </w:tcPr>
          <w:p>
            <w:r>
              <w:t>No</w:t>
            </w:r>
            <w:r>
              <w:rPr>
                <w:rFonts w:ascii="Aptos" w:hAnsi="Aptos"/>
                <w:b w:val="0"/>
                <w:sz w:val="18"/>
              </w:rPr>
            </w:r>
          </w:p>
        </w:tc>
        <w:tc>
          <w:tcPr>
            <w:tcW w:type="dxa" w:w="1008"/>
            <w:vAlign w:val="center"/>
          </w:tcPr>
          <w:p>
            <w:r>
              <w:t>Yes*</w:t>
            </w:r>
            <w:r>
              <w:rPr>
                <w:rFonts w:ascii="Aptos" w:hAnsi="Aptos"/>
                <w:b w:val="0"/>
                <w:sz w:val="18"/>
              </w:rPr>
            </w:r>
          </w:p>
        </w:tc>
        <w:tc>
          <w:tcPr>
            <w:tcW w:type="dxa" w:w="1008"/>
            <w:vAlign w:val="center"/>
          </w:tcPr>
          <w:p>
            <w:r>
              <w:t>Yes*</w:t>
            </w:r>
            <w:r>
              <w:rPr>
                <w:rFonts w:ascii="Aptos" w:hAnsi="Aptos"/>
                <w:b w:val="0"/>
                <w:sz w:val="18"/>
              </w:rPr>
            </w:r>
          </w:p>
        </w:tc>
      </w:tr>
      <w:tr>
        <w:tc>
          <w:tcPr>
            <w:tcW w:type="dxa" w:w="2448"/>
            <w:vAlign w:val="center"/>
          </w:tcPr>
          <w:p>
            <w:r/>
            <w:r>
              <w:rPr>
                <w:rFonts w:ascii="Aptos" w:hAnsi="Aptos"/>
                <w:b w:val="0"/>
                <w:sz w:val="18"/>
              </w:rPr>
              <w:t>documents.upload</w:t>
            </w:r>
          </w:p>
        </w:tc>
        <w:tc>
          <w:tcPr>
            <w:tcW w:type="dxa" w:w="1152"/>
            <w:vAlign w:val="center"/>
          </w:tcPr>
          <w:p>
            <w:r>
              <w:t>No</w:t>
            </w:r>
            <w:r>
              <w:rPr>
                <w:rFonts w:ascii="Aptos" w:hAnsi="Aptos"/>
                <w:b w:val="0"/>
                <w:sz w:val="18"/>
              </w:rPr>
            </w:r>
          </w:p>
        </w:tc>
        <w:tc>
          <w:tcPr>
            <w:tcW w:type="dxa" w:w="1008"/>
            <w:vAlign w:val="center"/>
          </w:tcPr>
          <w:p>
            <w:r>
              <w:t>No</w:t>
            </w:r>
            <w:r>
              <w:rPr>
                <w:rFonts w:ascii="Aptos" w:hAnsi="Aptos"/>
                <w:b w:val="0"/>
                <w:sz w:val="18"/>
              </w:rPr>
            </w:r>
          </w:p>
        </w:tc>
        <w:tc>
          <w:tcPr>
            <w:tcW w:type="dxa" w:w="1296"/>
            <w:vAlign w:val="center"/>
          </w:tcPr>
          <w:p>
            <w:r>
              <w:t>Yes*</w:t>
            </w:r>
            <w:r>
              <w:rPr>
                <w:rFonts w:ascii="Aptos" w:hAnsi="Aptos"/>
                <w:b w:val="0"/>
                <w:sz w:val="18"/>
              </w:rPr>
            </w:r>
          </w:p>
        </w:tc>
        <w:tc>
          <w:tcPr>
            <w:tcW w:type="dxa" w:w="1152"/>
            <w:vAlign w:val="center"/>
          </w:tcPr>
          <w:p>
            <w:r>
              <w:t>No</w:t>
            </w:r>
            <w:r>
              <w:rPr>
                <w:rFonts w:ascii="Aptos" w:hAnsi="Aptos"/>
                <w:b w:val="0"/>
                <w:sz w:val="18"/>
              </w:rPr>
            </w:r>
          </w:p>
        </w:tc>
        <w:tc>
          <w:tcPr>
            <w:tcW w:type="dxa" w:w="1008"/>
            <w:vAlign w:val="center"/>
          </w:tcPr>
          <w:p>
            <w:r>
              <w:t>No</w:t>
            </w:r>
            <w:r>
              <w:rPr>
                <w:rFonts w:ascii="Aptos" w:hAnsi="Aptos"/>
                <w:b w:val="0"/>
                <w:sz w:val="18"/>
              </w:rPr>
            </w:r>
          </w:p>
        </w:tc>
        <w:tc>
          <w:tcPr>
            <w:tcW w:type="dxa" w:w="1008"/>
            <w:vAlign w:val="center"/>
          </w:tcPr>
          <w:p>
            <w:r>
              <w:t>Yes*</w:t>
            </w:r>
            <w:r>
              <w:rPr>
                <w:rFonts w:ascii="Aptos" w:hAnsi="Aptos"/>
                <w:b w:val="0"/>
                <w:sz w:val="18"/>
              </w:rPr>
            </w:r>
          </w:p>
        </w:tc>
        <w:tc>
          <w:tcPr>
            <w:tcW w:type="dxa" w:w="1008"/>
            <w:vAlign w:val="center"/>
          </w:tcPr>
          <w:p>
            <w:r>
              <w:t>Yes*</w:t>
            </w:r>
            <w:r>
              <w:rPr>
                <w:rFonts w:ascii="Aptos" w:hAnsi="Aptos"/>
                <w:b w:val="0"/>
                <w:sz w:val="18"/>
              </w:rPr>
            </w:r>
          </w:p>
        </w:tc>
      </w:tr>
      <w:tr>
        <w:tc>
          <w:tcPr>
            <w:tcW w:type="dxa" w:w="2448"/>
            <w:vAlign w:val="center"/>
          </w:tcPr>
          <w:p>
            <w:r/>
            <w:r>
              <w:rPr>
                <w:rFonts w:ascii="Aptos" w:hAnsi="Aptos"/>
                <w:b w:val="0"/>
                <w:sz w:val="18"/>
              </w:rPr>
              <w:t>content.export</w:t>
            </w:r>
          </w:p>
        </w:tc>
        <w:tc>
          <w:tcPr>
            <w:tcW w:type="dxa" w:w="1152"/>
            <w:vAlign w:val="center"/>
          </w:tcPr>
          <w:p>
            <w:r>
              <w:t>No</w:t>
            </w:r>
            <w:r>
              <w:rPr>
                <w:rFonts w:ascii="Aptos" w:hAnsi="Aptos"/>
                <w:b w:val="0"/>
                <w:sz w:val="18"/>
              </w:rPr>
            </w:r>
          </w:p>
        </w:tc>
        <w:tc>
          <w:tcPr>
            <w:tcW w:type="dxa" w:w="1008"/>
            <w:vAlign w:val="center"/>
          </w:tcPr>
          <w:p>
            <w:r>
              <w:t>Yes*</w:t>
            </w:r>
            <w:r>
              <w:rPr>
                <w:rFonts w:ascii="Aptos" w:hAnsi="Aptos"/>
                <w:b w:val="0"/>
                <w:sz w:val="18"/>
              </w:rPr>
            </w:r>
          </w:p>
        </w:tc>
        <w:tc>
          <w:tcPr>
            <w:tcW w:type="dxa" w:w="1296"/>
            <w:vAlign w:val="center"/>
          </w:tcPr>
          <w:p>
            <w:r>
              <w:t>Yes*</w:t>
            </w:r>
            <w:r>
              <w:rPr>
                <w:rFonts w:ascii="Aptos" w:hAnsi="Aptos"/>
                <w:b w:val="0"/>
                <w:sz w:val="18"/>
              </w:rPr>
            </w:r>
          </w:p>
        </w:tc>
        <w:tc>
          <w:tcPr>
            <w:tcW w:type="dxa" w:w="1152"/>
            <w:vAlign w:val="center"/>
          </w:tcPr>
          <w:p>
            <w:r>
              <w:t>No</w:t>
            </w:r>
            <w:r>
              <w:rPr>
                <w:rFonts w:ascii="Aptos" w:hAnsi="Aptos"/>
                <w:b w:val="0"/>
                <w:sz w:val="18"/>
              </w:rPr>
            </w:r>
          </w:p>
        </w:tc>
        <w:tc>
          <w:tcPr>
            <w:tcW w:type="dxa" w:w="1008"/>
            <w:vAlign w:val="center"/>
          </w:tcPr>
          <w:p>
            <w:r>
              <w:t>No</w:t>
            </w:r>
            <w:r>
              <w:rPr>
                <w:rFonts w:ascii="Aptos" w:hAnsi="Aptos"/>
                <w:b w:val="0"/>
                <w:sz w:val="18"/>
              </w:rPr>
            </w:r>
          </w:p>
        </w:tc>
        <w:tc>
          <w:tcPr>
            <w:tcW w:type="dxa" w:w="1008"/>
            <w:vAlign w:val="center"/>
          </w:tcPr>
          <w:p>
            <w:r>
              <w:t>Yes*</w:t>
            </w:r>
            <w:r>
              <w:rPr>
                <w:rFonts w:ascii="Aptos" w:hAnsi="Aptos"/>
                <w:b w:val="0"/>
                <w:sz w:val="18"/>
              </w:rPr>
            </w:r>
          </w:p>
        </w:tc>
        <w:tc>
          <w:tcPr>
            <w:tcW w:type="dxa" w:w="1008"/>
            <w:vAlign w:val="center"/>
          </w:tcPr>
          <w:p>
            <w:r>
              <w:t>Yes*</w:t>
            </w:r>
            <w:r>
              <w:rPr>
                <w:rFonts w:ascii="Aptos" w:hAnsi="Aptos"/>
                <w:b w:val="0"/>
                <w:sz w:val="18"/>
              </w:rPr>
            </w:r>
          </w:p>
        </w:tc>
      </w:tr>
      <w:tr>
        <w:tc>
          <w:tcPr>
            <w:tcW w:type="dxa" w:w="2448"/>
            <w:vAlign w:val="center"/>
          </w:tcPr>
          <w:p>
            <w:r/>
            <w:r>
              <w:rPr>
                <w:rFonts w:ascii="Aptos" w:hAnsi="Aptos"/>
                <w:b w:val="0"/>
                <w:sz w:val="18"/>
              </w:rPr>
              <w:t>members.manage</w:t>
            </w:r>
          </w:p>
        </w:tc>
        <w:tc>
          <w:tcPr>
            <w:tcW w:type="dxa" w:w="1152"/>
            <w:vAlign w:val="center"/>
          </w:tcPr>
          <w:p>
            <w:r>
              <w:t>No</w:t>
            </w:r>
            <w:r>
              <w:rPr>
                <w:rFonts w:ascii="Aptos" w:hAnsi="Aptos"/>
                <w:b w:val="0"/>
                <w:sz w:val="18"/>
              </w:rPr>
            </w:r>
          </w:p>
        </w:tc>
        <w:tc>
          <w:tcPr>
            <w:tcW w:type="dxa" w:w="1008"/>
            <w:vAlign w:val="center"/>
          </w:tcPr>
          <w:p>
            <w:r>
              <w:t>No</w:t>
            </w:r>
            <w:r>
              <w:rPr>
                <w:rFonts w:ascii="Aptos" w:hAnsi="Aptos"/>
                <w:b w:val="0"/>
                <w:sz w:val="18"/>
              </w:rPr>
            </w:r>
          </w:p>
        </w:tc>
        <w:tc>
          <w:tcPr>
            <w:tcW w:type="dxa" w:w="1296"/>
            <w:vAlign w:val="center"/>
          </w:tcPr>
          <w:p>
            <w:r>
              <w:t>No</w:t>
            </w:r>
            <w:r>
              <w:rPr>
                <w:rFonts w:ascii="Aptos" w:hAnsi="Aptos"/>
                <w:b w:val="0"/>
                <w:sz w:val="18"/>
              </w:rPr>
            </w:r>
          </w:p>
        </w:tc>
        <w:tc>
          <w:tcPr>
            <w:tcW w:type="dxa" w:w="1152"/>
            <w:vAlign w:val="center"/>
          </w:tcPr>
          <w:p>
            <w:r>
              <w:t>Yes</w:t>
            </w:r>
            <w:r>
              <w:rPr>
                <w:rFonts w:ascii="Aptos" w:hAnsi="Aptos"/>
                <w:b w:val="0"/>
                <w:sz w:val="18"/>
              </w:rPr>
            </w:r>
          </w:p>
        </w:tc>
        <w:tc>
          <w:tcPr>
            <w:tcW w:type="dxa" w:w="1008"/>
            <w:vAlign w:val="center"/>
          </w:tcPr>
          <w:p>
            <w:r>
              <w:t>No</w:t>
            </w:r>
            <w:r>
              <w:rPr>
                <w:rFonts w:ascii="Aptos" w:hAnsi="Aptos"/>
                <w:b w:val="0"/>
                <w:sz w:val="18"/>
              </w:rPr>
            </w:r>
          </w:p>
        </w:tc>
        <w:tc>
          <w:tcPr>
            <w:tcW w:type="dxa" w:w="1008"/>
            <w:vAlign w:val="center"/>
          </w:tcPr>
          <w:p>
            <w:r>
              <w:t>Yes</w:t>
            </w:r>
            <w:r>
              <w:rPr>
                <w:rFonts w:ascii="Aptos" w:hAnsi="Aptos"/>
                <w:b w:val="0"/>
                <w:sz w:val="18"/>
              </w:rPr>
            </w:r>
          </w:p>
        </w:tc>
        <w:tc>
          <w:tcPr>
            <w:tcW w:type="dxa" w:w="1008"/>
            <w:vAlign w:val="center"/>
          </w:tcPr>
          <w:p>
            <w:r>
              <w:t>Yes</w:t>
            </w:r>
            <w:r>
              <w:rPr>
                <w:rFonts w:ascii="Aptos" w:hAnsi="Aptos"/>
                <w:b w:val="0"/>
                <w:sz w:val="18"/>
              </w:rPr>
            </w:r>
          </w:p>
        </w:tc>
      </w:tr>
      <w:tr>
        <w:tc>
          <w:tcPr>
            <w:tcW w:type="dxa" w:w="2448"/>
            <w:vAlign w:val="center"/>
          </w:tcPr>
          <w:p>
            <w:r/>
            <w:r>
              <w:rPr>
                <w:rFonts w:ascii="Aptos" w:hAnsi="Aptos"/>
                <w:b w:val="0"/>
                <w:sz w:val="18"/>
              </w:rPr>
              <w:t>roles.manage</w:t>
            </w:r>
          </w:p>
        </w:tc>
        <w:tc>
          <w:tcPr>
            <w:tcW w:type="dxa" w:w="1152"/>
            <w:vAlign w:val="center"/>
          </w:tcPr>
          <w:p>
            <w:r>
              <w:t>No</w:t>
            </w:r>
            <w:r>
              <w:rPr>
                <w:rFonts w:ascii="Aptos" w:hAnsi="Aptos"/>
                <w:b w:val="0"/>
                <w:sz w:val="18"/>
              </w:rPr>
            </w:r>
          </w:p>
        </w:tc>
        <w:tc>
          <w:tcPr>
            <w:tcW w:type="dxa" w:w="1008"/>
            <w:vAlign w:val="center"/>
          </w:tcPr>
          <w:p>
            <w:r>
              <w:t>No</w:t>
            </w:r>
            <w:r>
              <w:rPr>
                <w:rFonts w:ascii="Aptos" w:hAnsi="Aptos"/>
                <w:b w:val="0"/>
                <w:sz w:val="18"/>
              </w:rPr>
            </w:r>
          </w:p>
        </w:tc>
        <w:tc>
          <w:tcPr>
            <w:tcW w:type="dxa" w:w="1296"/>
            <w:vAlign w:val="center"/>
          </w:tcPr>
          <w:p>
            <w:r>
              <w:t>No</w:t>
            </w:r>
            <w:r>
              <w:rPr>
                <w:rFonts w:ascii="Aptos" w:hAnsi="Aptos"/>
                <w:b w:val="0"/>
                <w:sz w:val="18"/>
              </w:rPr>
            </w:r>
          </w:p>
        </w:tc>
        <w:tc>
          <w:tcPr>
            <w:tcW w:type="dxa" w:w="1152"/>
            <w:vAlign w:val="center"/>
          </w:tcPr>
          <w:p>
            <w:r/>
            <w:r>
              <w:rPr>
                <w:rFonts w:ascii="Aptos" w:hAnsi="Aptos"/>
                <w:b w:val="0"/>
                <w:sz w:val="18"/>
              </w:rPr>
              <w:t>limité</w:t>
            </w:r>
          </w:p>
        </w:tc>
        <w:tc>
          <w:tcPr>
            <w:tcW w:type="dxa" w:w="1008"/>
            <w:vAlign w:val="center"/>
          </w:tcPr>
          <w:p>
            <w:r>
              <w:t>No</w:t>
            </w:r>
            <w:r>
              <w:rPr>
                <w:rFonts w:ascii="Aptos" w:hAnsi="Aptos"/>
                <w:b w:val="0"/>
                <w:sz w:val="18"/>
              </w:rPr>
            </w:r>
          </w:p>
        </w:tc>
        <w:tc>
          <w:tcPr>
            <w:tcW w:type="dxa" w:w="1008"/>
            <w:vAlign w:val="center"/>
          </w:tcPr>
          <w:p>
            <w:r>
              <w:t>Yes</w:t>
            </w:r>
            <w:r>
              <w:rPr>
                <w:rFonts w:ascii="Aptos" w:hAnsi="Aptos"/>
                <w:b w:val="0"/>
                <w:sz w:val="18"/>
              </w:rPr>
            </w:r>
          </w:p>
        </w:tc>
        <w:tc>
          <w:tcPr>
            <w:tcW w:type="dxa" w:w="1008"/>
            <w:vAlign w:val="center"/>
          </w:tcPr>
          <w:p>
            <w:r>
              <w:t>Yes</w:t>
            </w:r>
            <w:r>
              <w:rPr>
                <w:rFonts w:ascii="Aptos" w:hAnsi="Aptos"/>
                <w:b w:val="0"/>
                <w:sz w:val="18"/>
              </w:rPr>
            </w:r>
          </w:p>
        </w:tc>
      </w:tr>
      <w:tr>
        <w:tc>
          <w:tcPr>
            <w:tcW w:type="dxa" w:w="2448"/>
            <w:vAlign w:val="center"/>
          </w:tcPr>
          <w:p>
            <w:r/>
            <w:r>
              <w:rPr>
                <w:rFonts w:ascii="Aptos" w:hAnsi="Aptos"/>
                <w:b w:val="0"/>
                <w:sz w:val="18"/>
              </w:rPr>
              <w:t>workspace.manage</w:t>
            </w:r>
          </w:p>
        </w:tc>
        <w:tc>
          <w:tcPr>
            <w:tcW w:type="dxa" w:w="1152"/>
            <w:vAlign w:val="center"/>
          </w:tcPr>
          <w:p>
            <w:r>
              <w:t>No</w:t>
            </w:r>
            <w:r>
              <w:rPr>
                <w:rFonts w:ascii="Aptos" w:hAnsi="Aptos"/>
                <w:b w:val="0"/>
                <w:sz w:val="18"/>
              </w:rPr>
            </w:r>
          </w:p>
        </w:tc>
        <w:tc>
          <w:tcPr>
            <w:tcW w:type="dxa" w:w="1008"/>
            <w:vAlign w:val="center"/>
          </w:tcPr>
          <w:p>
            <w:r>
              <w:t>No</w:t>
            </w:r>
            <w:r>
              <w:rPr>
                <w:rFonts w:ascii="Aptos" w:hAnsi="Aptos"/>
                <w:b w:val="0"/>
                <w:sz w:val="18"/>
              </w:rPr>
            </w:r>
          </w:p>
        </w:tc>
        <w:tc>
          <w:tcPr>
            <w:tcW w:type="dxa" w:w="1296"/>
            <w:vAlign w:val="center"/>
          </w:tcPr>
          <w:p>
            <w:r>
              <w:t>No</w:t>
            </w:r>
            <w:r>
              <w:rPr>
                <w:rFonts w:ascii="Aptos" w:hAnsi="Aptos"/>
                <w:b w:val="0"/>
                <w:sz w:val="18"/>
              </w:rPr>
            </w:r>
          </w:p>
        </w:tc>
        <w:tc>
          <w:tcPr>
            <w:tcW w:type="dxa" w:w="1152"/>
            <w:vAlign w:val="center"/>
          </w:tcPr>
          <w:p>
            <w:r>
              <w:t>No</w:t>
            </w:r>
            <w:r>
              <w:rPr>
                <w:rFonts w:ascii="Aptos" w:hAnsi="Aptos"/>
                <w:b w:val="0"/>
                <w:sz w:val="18"/>
              </w:rPr>
            </w:r>
          </w:p>
        </w:tc>
        <w:tc>
          <w:tcPr>
            <w:tcW w:type="dxa" w:w="1008"/>
            <w:vAlign w:val="center"/>
          </w:tcPr>
          <w:p>
            <w:r>
              <w:t>No</w:t>
            </w:r>
            <w:r>
              <w:rPr>
                <w:rFonts w:ascii="Aptos" w:hAnsi="Aptos"/>
                <w:b w:val="0"/>
                <w:sz w:val="18"/>
              </w:rPr>
            </w:r>
          </w:p>
        </w:tc>
        <w:tc>
          <w:tcPr>
            <w:tcW w:type="dxa" w:w="1008"/>
            <w:vAlign w:val="center"/>
          </w:tcPr>
          <w:p>
            <w:r>
              <w:t>Yes</w:t>
            </w:r>
            <w:r>
              <w:rPr>
                <w:rFonts w:ascii="Aptos" w:hAnsi="Aptos"/>
                <w:b w:val="0"/>
                <w:sz w:val="18"/>
              </w:rPr>
            </w:r>
          </w:p>
        </w:tc>
        <w:tc>
          <w:tcPr>
            <w:tcW w:type="dxa" w:w="1008"/>
            <w:vAlign w:val="center"/>
          </w:tcPr>
          <w:p>
            <w:r>
              <w:t>Yes</w:t>
            </w:r>
            <w:r>
              <w:rPr>
                <w:rFonts w:ascii="Aptos" w:hAnsi="Aptos"/>
                <w:b w:val="0"/>
                <w:sz w:val="18"/>
              </w:rPr>
            </w:r>
          </w:p>
        </w:tc>
      </w:tr>
      <w:tr>
        <w:tc>
          <w:tcPr>
            <w:tcW w:type="dxa" w:w="2448"/>
            <w:vAlign w:val="center"/>
          </w:tcPr>
          <w:p>
            <w:r/>
            <w:r>
              <w:rPr>
                <w:rFonts w:ascii="Aptos" w:hAnsi="Aptos"/>
                <w:b w:val="0"/>
                <w:sz w:val="18"/>
              </w:rPr>
              <w:t>billing.view</w:t>
            </w:r>
          </w:p>
        </w:tc>
        <w:tc>
          <w:tcPr>
            <w:tcW w:type="dxa" w:w="1152"/>
            <w:vAlign w:val="center"/>
          </w:tcPr>
          <w:p>
            <w:r>
              <w:t>No</w:t>
            </w:r>
            <w:r>
              <w:rPr>
                <w:rFonts w:ascii="Aptos" w:hAnsi="Aptos"/>
                <w:b w:val="0"/>
                <w:sz w:val="18"/>
              </w:rPr>
            </w:r>
          </w:p>
        </w:tc>
        <w:tc>
          <w:tcPr>
            <w:tcW w:type="dxa" w:w="1008"/>
            <w:vAlign w:val="center"/>
          </w:tcPr>
          <w:p>
            <w:r>
              <w:t>No</w:t>
            </w:r>
            <w:r>
              <w:rPr>
                <w:rFonts w:ascii="Aptos" w:hAnsi="Aptos"/>
                <w:b w:val="0"/>
                <w:sz w:val="18"/>
              </w:rPr>
            </w:r>
          </w:p>
        </w:tc>
        <w:tc>
          <w:tcPr>
            <w:tcW w:type="dxa" w:w="1296"/>
            <w:vAlign w:val="center"/>
          </w:tcPr>
          <w:p>
            <w:r>
              <w:t>No</w:t>
            </w:r>
            <w:r>
              <w:rPr>
                <w:rFonts w:ascii="Aptos" w:hAnsi="Aptos"/>
                <w:b w:val="0"/>
                <w:sz w:val="18"/>
              </w:rPr>
            </w:r>
          </w:p>
        </w:tc>
        <w:tc>
          <w:tcPr>
            <w:tcW w:type="dxa" w:w="1152"/>
            <w:vAlign w:val="center"/>
          </w:tcPr>
          <w:p>
            <w:r>
              <w:t>No</w:t>
            </w:r>
            <w:r>
              <w:rPr>
                <w:rFonts w:ascii="Aptos" w:hAnsi="Aptos"/>
                <w:b w:val="0"/>
                <w:sz w:val="18"/>
              </w:rPr>
            </w:r>
          </w:p>
        </w:tc>
        <w:tc>
          <w:tcPr>
            <w:tcW w:type="dxa" w:w="1008"/>
            <w:vAlign w:val="center"/>
          </w:tcPr>
          <w:p>
            <w:r>
              <w:t>Yes</w:t>
            </w:r>
            <w:r>
              <w:rPr>
                <w:rFonts w:ascii="Aptos" w:hAnsi="Aptos"/>
                <w:b w:val="0"/>
                <w:sz w:val="18"/>
              </w:rPr>
            </w:r>
          </w:p>
        </w:tc>
        <w:tc>
          <w:tcPr>
            <w:tcW w:type="dxa" w:w="1008"/>
            <w:vAlign w:val="center"/>
          </w:tcPr>
          <w:p>
            <w:r>
              <w:t>Yes</w:t>
            </w:r>
            <w:r>
              <w:rPr>
                <w:rFonts w:ascii="Aptos" w:hAnsi="Aptos"/>
                <w:b w:val="0"/>
                <w:sz w:val="18"/>
              </w:rPr>
            </w:r>
          </w:p>
        </w:tc>
        <w:tc>
          <w:tcPr>
            <w:tcW w:type="dxa" w:w="1008"/>
            <w:vAlign w:val="center"/>
          </w:tcPr>
          <w:p>
            <w:r>
              <w:t>Yes</w:t>
            </w:r>
            <w:r>
              <w:rPr>
                <w:rFonts w:ascii="Aptos" w:hAnsi="Aptos"/>
                <w:b w:val="0"/>
                <w:sz w:val="18"/>
              </w:rPr>
            </w:r>
          </w:p>
        </w:tc>
      </w:tr>
      <w:tr>
        <w:tc>
          <w:tcPr>
            <w:tcW w:type="dxa" w:w="2448"/>
            <w:vAlign w:val="center"/>
          </w:tcPr>
          <w:p>
            <w:r/>
            <w:r>
              <w:rPr>
                <w:rFonts w:ascii="Aptos" w:hAnsi="Aptos"/>
                <w:b w:val="0"/>
                <w:sz w:val="18"/>
              </w:rPr>
              <w:t>billing.manage</w:t>
            </w:r>
          </w:p>
        </w:tc>
        <w:tc>
          <w:tcPr>
            <w:tcW w:type="dxa" w:w="1152"/>
            <w:vAlign w:val="center"/>
          </w:tcPr>
          <w:p>
            <w:r>
              <w:t>No</w:t>
            </w:r>
            <w:r>
              <w:rPr>
                <w:rFonts w:ascii="Aptos" w:hAnsi="Aptos"/>
                <w:b w:val="0"/>
                <w:sz w:val="18"/>
              </w:rPr>
            </w:r>
          </w:p>
        </w:tc>
        <w:tc>
          <w:tcPr>
            <w:tcW w:type="dxa" w:w="1008"/>
            <w:vAlign w:val="center"/>
          </w:tcPr>
          <w:p>
            <w:r>
              <w:t>No</w:t>
            </w:r>
            <w:r>
              <w:rPr>
                <w:rFonts w:ascii="Aptos" w:hAnsi="Aptos"/>
                <w:b w:val="0"/>
                <w:sz w:val="18"/>
              </w:rPr>
            </w:r>
          </w:p>
        </w:tc>
        <w:tc>
          <w:tcPr>
            <w:tcW w:type="dxa" w:w="1296"/>
            <w:vAlign w:val="center"/>
          </w:tcPr>
          <w:p>
            <w:r>
              <w:t>No</w:t>
            </w:r>
            <w:r>
              <w:rPr>
                <w:rFonts w:ascii="Aptos" w:hAnsi="Aptos"/>
                <w:b w:val="0"/>
                <w:sz w:val="18"/>
              </w:rPr>
            </w:r>
          </w:p>
        </w:tc>
        <w:tc>
          <w:tcPr>
            <w:tcW w:type="dxa" w:w="1152"/>
            <w:vAlign w:val="center"/>
          </w:tcPr>
          <w:p>
            <w:r>
              <w:t>No</w:t>
            </w:r>
            <w:r>
              <w:rPr>
                <w:rFonts w:ascii="Aptos" w:hAnsi="Aptos"/>
                <w:b w:val="0"/>
                <w:sz w:val="18"/>
              </w:rPr>
            </w:r>
          </w:p>
        </w:tc>
        <w:tc>
          <w:tcPr>
            <w:tcW w:type="dxa" w:w="1008"/>
            <w:vAlign w:val="center"/>
          </w:tcPr>
          <w:p>
            <w:r>
              <w:t>Yes</w:t>
            </w:r>
            <w:r>
              <w:rPr>
                <w:rFonts w:ascii="Aptos" w:hAnsi="Aptos"/>
                <w:b w:val="0"/>
                <w:sz w:val="18"/>
              </w:rPr>
            </w:r>
          </w:p>
        </w:tc>
        <w:tc>
          <w:tcPr>
            <w:tcW w:type="dxa" w:w="1008"/>
            <w:vAlign w:val="center"/>
          </w:tcPr>
          <w:p>
            <w:r>
              <w:t>No</w:t>
            </w:r>
            <w:r>
              <w:rPr>
                <w:rFonts w:ascii="Aptos" w:hAnsi="Aptos"/>
                <w:b w:val="0"/>
                <w:sz w:val="18"/>
              </w:rPr>
            </w:r>
          </w:p>
        </w:tc>
        <w:tc>
          <w:tcPr>
            <w:tcW w:type="dxa" w:w="1008"/>
            <w:vAlign w:val="center"/>
          </w:tcPr>
          <w:p>
            <w:r>
              <w:t>Yes</w:t>
            </w:r>
            <w:r>
              <w:rPr>
                <w:rFonts w:ascii="Aptos" w:hAnsi="Aptos"/>
                <w:b w:val="0"/>
                <w:sz w:val="18"/>
              </w:rPr>
            </w:r>
          </w:p>
        </w:tc>
      </w:tr>
    </w:tbl>
    <w:p/>
    <w:p>
      <w:pPr>
        <w:pStyle w:val="Decision"/>
      </w:pPr>
      <w:r>
        <w:t>* = seulement si la capacité est disponible dans l’offre commerciale.</w:t>
      </w:r>
    </w:p>
    <w:p>
      <w:pPr>
        <w:pStyle w:val="Heading1"/>
      </w:pPr>
      <w:r>
        <w:t>11. Usage familial et comptes restreints</w:t>
      </w:r>
    </w:p>
    <w:p>
      <w:r>
        <w:t>La V1 ne modélise pas juridiquement la parentalité. Le système d’autorisation connaît des rôles techniques, pas nécessairement les relations réelles père/mère/enfant.</w:t>
      </w:r>
    </w:p>
    <w:p>
      <w:pPr>
        <w:pStyle w:val="ListBullet"/>
      </w:pPr>
      <w:r>
        <w:t>Le propriétaire d’un workspace familial peut attribuer RestrictedMember à un enfant ou à tout autre membre devant disposer de droits limités.</w:t>
      </w:r>
    </w:p>
    <w:p>
      <w:pPr>
        <w:pStyle w:val="ListBullet"/>
      </w:pPr>
      <w:r>
        <w:t>Les exceptions utilisateur peuvent autoriser ou refuser une permission particulière.</w:t>
      </w:r>
    </w:p>
    <w:p>
      <w:pPr>
        <w:pStyle w:val="ListBullet"/>
      </w:pPr>
      <w:r>
        <w:t>La V1 ne met pas en place de workflow de consentement parental, de vérification d’âge ni de contrôle réglementaire automatisé.</w:t>
      </w:r>
    </w:p>
    <w:p>
      <w:pPr>
        <w:pStyle w:val="ListBullet"/>
      </w:pPr>
      <w:r>
        <w:t>Une information/avertissement V1 rappellera que le propriétaire du workspace est responsable de la création des comptes et des accès qu’il attribue.</w:t>
      </w:r>
    </w:p>
    <w:p>
      <w:pPr>
        <w:pStyle w:val="ListBullet"/>
      </w:pPr>
      <w:r>
        <w:t>Cette simplification V1 est une décision de scope produit bêta ; elle ne doit pas être interprétée comme une conclusion juridique définitive pour une commercialisation publique.</w:t>
      </w:r>
    </w:p>
    <w:p>
      <w:pPr>
        <w:pStyle w:val="Heading1"/>
      </w:pPr>
      <w:r>
        <w:t>12. Navigation multi-workspaces</w:t>
      </w:r>
    </w:p>
    <w:p>
      <w:r>
        <w:t>Un utilisateur peut avoir accès à plusieurs workspaces. L’interface doit lui permettre de sélectionner son contexte actif.</w:t>
      </w:r>
    </w:p>
    <w:p>
      <w:pPr>
        <w:pStyle w:val="CodeBlock"/>
      </w:pPr>
      <w:r>
        <w:t>Utilisateur global</w:t>
      </w:r>
    </w:p>
    <w:p>
      <w:pPr>
        <w:pStyle w:val="CodeBlock"/>
      </w:pPr>
      <w:r>
        <w:t>|--- Workspace "Ma famille"       -&gt; WorkspaceOwner</w:t>
      </w:r>
    </w:p>
    <w:p>
      <w:pPr>
        <w:pStyle w:val="CodeBlock"/>
      </w:pPr>
      <w:r>
        <w:t>|--- Workspace "Belle-famille"    -&gt; WorkspaceOwner</w:t>
      </w:r>
    </w:p>
    <w:p>
      <w:pPr>
        <w:pStyle w:val="CodeBlock"/>
      </w:pPr>
      <w:r>
        <w:t>`--- Workspace "Église Alpha"     -&gt; Member</w:t>
      </w:r>
    </w:p>
    <w:p>
      <w:pPr>
        <w:pStyle w:val="ListBullet"/>
      </w:pPr>
      <w:r>
        <w:t>Le workspace courant est un état d’interface/session, pas une preuve d’autorisation.</w:t>
      </w:r>
    </w:p>
    <w:p>
      <w:pPr>
        <w:pStyle w:val="ListBullet"/>
      </w:pPr>
      <w:r>
        <w:t>Chaque requête backend doit vérifier UserId + WorkspaceId + membership + rôle/permissions.</w:t>
      </w:r>
    </w:p>
    <w:p>
      <w:pPr>
        <w:pStyle w:val="ListBullet"/>
      </w:pPr>
      <w:r>
        <w:t>Le client ne peut pas obtenir l’accès à un autre workspace en changeant simplement un identifiant dans une requête.</w:t>
      </w:r>
    </w:p>
    <w:p>
      <w:pPr>
        <w:pStyle w:val="ListBullet"/>
      </w:pPr>
      <w:r>
        <w:t>Les caches et requêtes de données doivent être explicitement scellés au WorkspaceId lorsqu’ils concernent des données isolées par workspace.</w:t>
      </w:r>
    </w:p>
    <w:p>
      <w:pPr>
        <w:pStyle w:val="Heading1"/>
      </w:pPr>
      <w:r>
        <w:t>13. Cycle de vie des subscriptions V1</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rFonts w:ascii="Aptos" w:hAnsi="Aptos"/>
                <w:b/>
                <w:sz w:val="18"/>
              </w:rPr>
              <w:t>État</w:t>
            </w:r>
          </w:p>
        </w:tc>
        <w:tc>
          <w:tcPr>
            <w:tcW w:type="dxa" w:w="8928"/>
            <w:vAlign w:val="center"/>
            <w:shd w:fill="D9EAF7"/>
          </w:tcPr>
          <w:p>
            <w:r/>
            <w:r>
              <w:rPr>
                <w:rFonts w:ascii="Aptos" w:hAnsi="Aptos"/>
                <w:b/>
                <w:sz w:val="18"/>
              </w:rPr>
              <w:t>Sémantique V1</w:t>
            </w:r>
          </w:p>
        </w:tc>
      </w:tr>
      <w:tr>
        <w:tc>
          <w:tcPr>
            <w:tcW w:type="dxa" w:w="2160"/>
            <w:vAlign w:val="center"/>
          </w:tcPr>
          <w:p>
            <w:r/>
            <w:r>
              <w:rPr>
                <w:rFonts w:ascii="Aptos" w:hAnsi="Aptos"/>
                <w:b w:val="0"/>
                <w:sz w:val="18"/>
              </w:rPr>
              <w:t>Trial</w:t>
            </w:r>
          </w:p>
        </w:tc>
        <w:tc>
          <w:tcPr>
            <w:tcW w:type="dxa" w:w="8928"/>
            <w:vAlign w:val="center"/>
          </w:tcPr>
          <w:p>
            <w:r/>
            <w:r>
              <w:rPr>
                <w:rFonts w:ascii="Aptos" w:hAnsi="Aptos"/>
                <w:b w:val="0"/>
                <w:sz w:val="18"/>
              </w:rPr>
              <w:t>Accès bêta ou période d’essai.</w:t>
            </w:r>
          </w:p>
        </w:tc>
      </w:tr>
      <w:tr>
        <w:tc>
          <w:tcPr>
            <w:tcW w:type="dxa" w:w="2160"/>
            <w:vAlign w:val="center"/>
          </w:tcPr>
          <w:p>
            <w:r/>
            <w:r>
              <w:rPr>
                <w:rFonts w:ascii="Aptos" w:hAnsi="Aptos"/>
                <w:b w:val="0"/>
                <w:sz w:val="18"/>
              </w:rPr>
              <w:t>Active</w:t>
            </w:r>
          </w:p>
        </w:tc>
        <w:tc>
          <w:tcPr>
            <w:tcW w:type="dxa" w:w="8928"/>
            <w:vAlign w:val="center"/>
          </w:tcPr>
          <w:p>
            <w:r/>
            <w:r>
              <w:rPr>
                <w:rFonts w:ascii="Aptos" w:hAnsi="Aptos"/>
                <w:b w:val="0"/>
                <w:sz w:val="18"/>
              </w:rPr>
              <w:t>Couverture commerciale active.</w:t>
            </w:r>
          </w:p>
        </w:tc>
      </w:tr>
      <w:tr>
        <w:tc>
          <w:tcPr>
            <w:tcW w:type="dxa" w:w="2160"/>
            <w:vAlign w:val="center"/>
          </w:tcPr>
          <w:p>
            <w:r/>
            <w:r>
              <w:rPr>
                <w:rFonts w:ascii="Aptos" w:hAnsi="Aptos"/>
                <w:b w:val="0"/>
                <w:sz w:val="18"/>
              </w:rPr>
              <w:t>Suspended</w:t>
            </w:r>
          </w:p>
        </w:tc>
        <w:tc>
          <w:tcPr>
            <w:tcW w:type="dxa" w:w="8928"/>
            <w:vAlign w:val="center"/>
          </w:tcPr>
          <w:p>
            <w:r/>
            <w:r>
              <w:rPr>
                <w:rFonts w:ascii="Aptos" w:hAnsi="Aptos"/>
                <w:b w:val="0"/>
                <w:sz w:val="18"/>
              </w:rPr>
              <w:t>Accès commercial temporairement suspendu ; données conservées.</w:t>
            </w:r>
          </w:p>
        </w:tc>
      </w:tr>
      <w:tr>
        <w:tc>
          <w:tcPr>
            <w:tcW w:type="dxa" w:w="2160"/>
            <w:vAlign w:val="center"/>
          </w:tcPr>
          <w:p>
            <w:r/>
            <w:r>
              <w:rPr>
                <w:rFonts w:ascii="Aptos" w:hAnsi="Aptos"/>
                <w:b w:val="0"/>
                <w:sz w:val="18"/>
              </w:rPr>
              <w:t>Cancelled</w:t>
            </w:r>
          </w:p>
        </w:tc>
        <w:tc>
          <w:tcPr>
            <w:tcW w:type="dxa" w:w="8928"/>
            <w:vAlign w:val="center"/>
          </w:tcPr>
          <w:p>
            <w:r/>
            <w:r>
              <w:rPr>
                <w:rFonts w:ascii="Aptos" w:hAnsi="Aptos"/>
                <w:b w:val="0"/>
                <w:sz w:val="18"/>
              </w:rPr>
              <w:t>Subscription résiliée ; conservation des données selon politique distincte.</w:t>
            </w:r>
          </w:p>
        </w:tc>
      </w:tr>
      <w:tr>
        <w:tc>
          <w:tcPr>
            <w:tcW w:type="dxa" w:w="2160"/>
            <w:vAlign w:val="center"/>
          </w:tcPr>
          <w:p>
            <w:r/>
            <w:r>
              <w:rPr>
                <w:rFonts w:ascii="Aptos" w:hAnsi="Aptos"/>
                <w:b w:val="0"/>
                <w:sz w:val="18"/>
              </w:rPr>
              <w:t>Expired</w:t>
            </w:r>
          </w:p>
        </w:tc>
        <w:tc>
          <w:tcPr>
            <w:tcW w:type="dxa" w:w="8928"/>
            <w:vAlign w:val="center"/>
          </w:tcPr>
          <w:p>
            <w:r/>
            <w:r>
              <w:rPr>
                <w:rFonts w:ascii="Aptos" w:hAnsi="Aptos"/>
                <w:b w:val="0"/>
                <w:sz w:val="18"/>
              </w:rPr>
              <w:t>Période de validité terminée.</w:t>
            </w:r>
          </w:p>
        </w:tc>
      </w:tr>
    </w:tbl>
    <w:p/>
    <w:p>
      <w:pPr>
        <w:pStyle w:val="Decision"/>
      </w:pPr>
      <w:r>
        <w:t>Transitions usuelles :</w:t>
      </w:r>
    </w:p>
    <w:p>
      <w:pPr>
        <w:pStyle w:val="CodeBlock"/>
      </w:pPr>
      <w:r>
        <w:t>Trial -&gt; Active</w:t>
      </w:r>
    </w:p>
    <w:p>
      <w:pPr>
        <w:pStyle w:val="CodeBlock"/>
      </w:pPr>
      <w:r>
        <w:t>Trial -&gt; Expired</w:t>
      </w:r>
    </w:p>
    <w:p>
      <w:pPr>
        <w:pStyle w:val="CodeBlock"/>
      </w:pPr>
      <w:r/>
    </w:p>
    <w:p>
      <w:pPr>
        <w:pStyle w:val="CodeBlock"/>
      </w:pPr>
      <w:r>
        <w:t>Active -&gt; Suspended</w:t>
      </w:r>
    </w:p>
    <w:p>
      <w:pPr>
        <w:pStyle w:val="CodeBlock"/>
      </w:pPr>
      <w:r>
        <w:t>Active -&gt; Cancelled</w:t>
      </w:r>
    </w:p>
    <w:p>
      <w:pPr>
        <w:pStyle w:val="CodeBlock"/>
      </w:pPr>
      <w:r>
        <w:t>Active -&gt; Expired</w:t>
      </w:r>
    </w:p>
    <w:p>
      <w:pPr>
        <w:pStyle w:val="CodeBlock"/>
      </w:pPr>
      <w:r/>
    </w:p>
    <w:p>
      <w:pPr>
        <w:pStyle w:val="CodeBlock"/>
      </w:pPr>
      <w:r>
        <w:t>Suspended -&gt; Active</w:t>
      </w:r>
    </w:p>
    <w:p>
      <w:pPr>
        <w:pStyle w:val="CodeBlock"/>
      </w:pPr>
      <w:r>
        <w:t>Suspended -&gt; Cancelled</w:t>
      </w:r>
    </w:p>
    <w:p>
      <w:pPr>
        <w:pStyle w:val="CodeBlock"/>
      </w:pPr>
      <w:r>
        <w:t>Suspended -&gt; Expired</w:t>
      </w:r>
    </w:p>
    <w:p>
      <w:pPr>
        <w:pStyle w:val="CodeBlock"/>
      </w:pPr>
      <w:r/>
    </w:p>
    <w:p>
      <w:pPr>
        <w:pStyle w:val="CodeBlock"/>
      </w:pPr>
      <w:r>
        <w:t>Cancelled -&gt; Expired</w:t>
      </w:r>
    </w:p>
    <w:p>
      <w:r>
        <w:t>Le paiement et le renouvellement automatisé sont hors scope V1. Les changements d’état sont gérés manuellement depuis la console d’administration.</w:t>
      </w:r>
    </w:p>
    <w:p>
      <w:pPr>
        <w:pStyle w:val="Heading1"/>
      </w:pPr>
      <w:r>
        <w:t>14. Offres commerciales et capacités V1</w:t>
      </w:r>
    </w:p>
    <w:p>
      <w:r>
        <w:t>La V1 ne doit pas implémenter un moteur générique d’entitlements. Une valeur PlanCode et une petite configuration explicite suffisent.</w:t>
      </w:r>
    </w:p>
    <w:p>
      <w:pPr>
        <w:pStyle w:val="CodeBlock"/>
      </w:pPr>
      <w:r>
        <w:t>Subscription</w:t>
      </w:r>
    </w:p>
    <w:p>
      <w:pPr>
        <w:pStyle w:val="CodeBlock"/>
      </w:pPr>
      <w:r>
        <w:t>- PlanCode</w:t>
      </w:r>
    </w:p>
    <w:p>
      <w:pPr>
        <w:pStyle w:val="CodeBlock"/>
      </w:pPr>
      <w:r>
        <w:t>- Status</w:t>
      </w:r>
    </w:p>
    <w:p>
      <w:pPr>
        <w:pStyle w:val="CodeBlock"/>
      </w:pPr>
      <w:r>
        <w:t>- StartDate</w:t>
      </w:r>
    </w:p>
    <w:p>
      <w:pPr>
        <w:pStyle w:val="CodeBlock"/>
      </w:pPr>
      <w:r>
        <w:t>- EndDate?</w:t>
      </w:r>
    </w:p>
    <w:p>
      <w:r>
        <w:t>Des plans comme Personal, Family ou Church pourront être définis plus tard ou pendant la bêta. Le modèle doit éviter les conditions disséminées dans le code du type « if Plan == ChurchPlus » ; la configuration des capacités doit rester centralisée, même si elle est simple.</w:t>
      </w:r>
    </w:p>
    <w:p>
      <w:pPr>
        <w:pStyle w:val="Heading1"/>
      </w:pPr>
      <w:r>
        <w:t>15. Console d’administration interne V1</w:t>
      </w:r>
    </w:p>
    <w:p>
      <w:r>
        <w:t>La V1 prévoit une application/console d’administration séparée ou un espace clairement séparé de l’interface utilisateur, réservé au propriétaire de la plateforme pour l’accompagnement des bêta-testeurs.</w:t>
      </w:r>
    </w:p>
    <w:p>
      <w:pPr>
        <w:pStyle w:val="Heading2"/>
      </w:pPr>
      <w:r>
        <w:t>15.1 Fonctions minimales</w:t>
      </w:r>
    </w:p>
    <w:p>
      <w:pPr>
        <w:pStyle w:val="ListBullet"/>
      </w:pPr>
      <w:r>
        <w:t>Lister et rechercher les users, customers, subscriptions et workspaces.</w:t>
      </w:r>
    </w:p>
    <w:p>
      <w:pPr>
        <w:pStyle w:val="ListBullet"/>
      </w:pPr>
      <w:r>
        <w:t>Créer/corriger un customer.</w:t>
      </w:r>
    </w:p>
    <w:p>
      <w:pPr>
        <w:pStyle w:val="ListBullet"/>
      </w:pPr>
      <w:r>
        <w:t>Créer, activer, suspendre, annuler ou prolonger une subscription.</w:t>
      </w:r>
    </w:p>
    <w:p>
      <w:pPr>
        <w:pStyle w:val="ListBullet"/>
      </w:pPr>
      <w:r>
        <w:t>Associer ou dissocier un workspace d’une subscription.</w:t>
      </w:r>
    </w:p>
    <w:p>
      <w:pPr>
        <w:pStyle w:val="ListBullet"/>
      </w:pPr>
      <w:r>
        <w:t>Voir les memberships d’un workspace.</w:t>
      </w:r>
    </w:p>
    <w:p>
      <w:pPr>
        <w:pStyle w:val="ListBullet"/>
      </w:pPr>
      <w:r>
        <w:t>Corriger un rôle ou un membership bloquant.</w:t>
      </w:r>
    </w:p>
    <w:p>
      <w:pPr>
        <w:pStyle w:val="ListBullet"/>
      </w:pPr>
      <w:r>
        <w:t>Débloquer ou désactiver un compte lorsque l’Identity layer le permet.</w:t>
      </w:r>
    </w:p>
    <w:p>
      <w:pPr>
        <w:pStyle w:val="ListBullet"/>
      </w:pPr>
      <w:r>
        <w:t>Consulter les événements d’audit pertinents.</w:t>
      </w:r>
    </w:p>
    <w:p>
      <w:pPr>
        <w:pStyle w:val="ListBullet"/>
      </w:pPr>
      <w:r>
        <w:t>Voir l’état technique minimal nécessaire au diagnostic bêta.</w:t>
      </w:r>
    </w:p>
    <w:p>
      <w:pPr>
        <w:pStyle w:val="Heading2"/>
      </w:pPr>
      <w:r>
        <w:t>15.2 Rôle plateforme V1</w:t>
      </w:r>
    </w:p>
    <w:p>
      <w:r>
        <w:t>Un rôle PlatformAdministrator peut être utilisé en bêta. Il doit être réservé à un nombre extrêmement limité d’identités et ses actions sensibles doivent être auditées.</w:t>
      </w:r>
    </w:p>
    <w:p>
      <w:r>
        <w:t>Ce rôle n’est pas le modèle cible d’une organisation de support mature. La future SupportSession temporaire et auditée reste explicitement différée.</w:t>
      </w:r>
    </w:p>
    <w:p>
      <w:pPr>
        <w:pStyle w:val="Heading1"/>
      </w:pPr>
      <w:r>
        <w:t>16. Exigences de sécurité V1</w:t>
      </w:r>
    </w:p>
    <w:p>
      <w:pPr>
        <w:pStyle w:val="ListNumber"/>
      </w:pPr>
      <w:r>
        <w:t>Autorisation côté serveur pour chaque opération protégée.</w:t>
      </w:r>
    </w:p>
    <w:p>
      <w:pPr>
        <w:pStyle w:val="ListNumber"/>
      </w:pPr>
      <w:r>
        <w:t>Aucune confiance dans le workspace sélectionné par le client.</w:t>
      </w:r>
    </w:p>
    <w:p>
      <w:pPr>
        <w:pStyle w:val="ListNumber"/>
      </w:pPr>
      <w:r>
        <w:t>Default deny pour les permissions.</w:t>
      </w:r>
    </w:p>
    <w:p>
      <w:pPr>
        <w:pStyle w:val="ListNumber"/>
      </w:pPr>
      <w:r>
        <w:t>Aucune élévation de privilèges via roles.manage : un rôle ne doit pas permettre d’attribuer des rôles plus puissants que l’autorité possédée.</w:t>
      </w:r>
    </w:p>
    <w:p>
      <w:pPr>
        <w:pStyle w:val="ListNumber"/>
      </w:pPr>
      <w:r>
        <w:t>Les actions de PlatformAdministrator sont journalisées.</w:t>
      </w:r>
    </w:p>
    <w:p>
      <w:pPr>
        <w:pStyle w:val="ListNumber"/>
      </w:pPr>
      <w:r>
        <w:t>Les mutations de membership, rôle et subscription sont auditables.</w:t>
      </w:r>
    </w:p>
    <w:p>
      <w:pPr>
        <w:pStyle w:val="ListNumber"/>
      </w:pPr>
      <w:r>
        <w:t>Les données fonctionnelles restent isolées par workspace.</w:t>
      </w:r>
    </w:p>
    <w:p>
      <w:pPr>
        <w:pStyle w:val="ListNumber"/>
      </w:pPr>
      <w:r>
        <w:t>La suspension commerciale n’entraîne pas de suppression silencieuse.</w:t>
      </w:r>
    </w:p>
    <w:p>
      <w:pPr>
        <w:pStyle w:val="ListNumber"/>
      </w:pPr>
      <w:r>
        <w:t>Les secrets, credentials et données d’authentification ne doivent jamais être exposés dans la console admin.</w:t>
      </w:r>
    </w:p>
    <w:p>
      <w:pPr>
        <w:pStyle w:val="ListNumber"/>
      </w:pPr>
      <w:r>
        <w:t>Le modèle ne doit pas autoriser le téléchargement direct des œuvres protégées simplement parce qu’un utilisateur dispose d’une subscription.</w:t>
      </w:r>
    </w:p>
    <w:p>
      <w:pPr>
        <w:pStyle w:val="ListNumber"/>
      </w:pPr>
      <w:r>
        <w:t>Les sorties LLM, documents et contenus récupérés restent non fiables et ne constituent pas des décisions d’autorisation.</w:t>
      </w:r>
    </w:p>
    <w:p>
      <w:pPr>
        <w:pStyle w:val="Heading1"/>
      </w:pPr>
      <w:r>
        <w:t>17. Accès au logiciel et œuvres protégées</w:t>
      </w:r>
    </w:p>
    <w:p>
      <w:r>
        <w:t>Le système commercial autorise l’accès aux fonctions d’Apologia. Il ne doit pas être interprété comme un mécanisme accordant un droit direct de consultation, téléchargement ou redistribution des fichiers sources protégés utilisés par la plateforme.</w:t>
      </w:r>
    </w:p>
    <w:p>
      <w:pPr>
        <w:pStyle w:val="ListBullet"/>
      </w:pPr>
      <w:r>
        <w:t>Les sources protégées restent des ressources internes de la plateforme selon les droits dont dispose l’éditeur/opérateur.</w:t>
      </w:r>
    </w:p>
    <w:p>
      <w:pPr>
        <w:pStyle w:val="ListBullet"/>
      </w:pPr>
      <w:r>
        <w:t>Les permissions utilisateur portent sur les fonctionnalités du logiciel et les résultats autorisés, pas automatiquement sur les fichiers bruts.</w:t>
      </w:r>
    </w:p>
    <w:p>
      <w:pPr>
        <w:pStyle w:val="ListBullet"/>
      </w:pPr>
      <w:r>
        <w:t>Les fonctions futures d’export devront être conçues séparément avec leurs propres règles.</w:t>
      </w:r>
    </w:p>
    <w:p>
      <w:pPr>
        <w:pStyle w:val="ListBullet"/>
      </w:pPr>
      <w:r>
        <w:t>Le modèle d’autorisation ne doit pas utiliser un entitlement logiciel comme preuve suffisante d’un droit de redistribution du contenu.</w:t>
      </w:r>
    </w:p>
    <w:p>
      <w:pPr>
        <w:pStyle w:val="Heading1"/>
      </w:pPr>
      <w:r>
        <w:t>18. Persistance conceptuelle V1</w:t>
      </w:r>
    </w:p>
    <w:p>
      <w:r>
        <w:t>Sans figer le schéma physique, les ensembles persistants attendus sont :</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rFonts w:ascii="Aptos" w:hAnsi="Aptos"/>
                <w:b/>
                <w:sz w:val="18"/>
              </w:rPr>
              <w:t>Concept</w:t>
            </w:r>
          </w:p>
        </w:tc>
        <w:tc>
          <w:tcPr>
            <w:tcW w:type="dxa" w:w="7632"/>
            <w:vAlign w:val="center"/>
            <w:shd w:fill="D9EAF7"/>
          </w:tcPr>
          <w:p>
            <w:r/>
            <w:r>
              <w:rPr>
                <w:rFonts w:ascii="Aptos" w:hAnsi="Aptos"/>
                <w:b/>
                <w:sz w:val="18"/>
              </w:rPr>
              <w:t>Responsabilité</w:t>
            </w:r>
          </w:p>
        </w:tc>
      </w:tr>
      <w:tr>
        <w:tc>
          <w:tcPr>
            <w:tcW w:type="dxa" w:w="3600"/>
            <w:vAlign w:val="center"/>
          </w:tcPr>
          <w:p>
            <w:r/>
            <w:r>
              <w:rPr>
                <w:rFonts w:ascii="Aptos" w:hAnsi="Aptos"/>
                <w:b w:val="0"/>
                <w:sz w:val="18"/>
              </w:rPr>
              <w:t>User</w:t>
            </w:r>
          </w:p>
        </w:tc>
        <w:tc>
          <w:tcPr>
            <w:tcW w:type="dxa" w:w="7632"/>
            <w:vAlign w:val="center"/>
          </w:tcPr>
          <w:p>
            <w:r/>
            <w:r>
              <w:rPr>
                <w:rFonts w:ascii="Aptos" w:hAnsi="Aptos"/>
                <w:b w:val="0"/>
                <w:sz w:val="18"/>
              </w:rPr>
              <w:t>Identité globale</w:t>
            </w:r>
          </w:p>
        </w:tc>
      </w:tr>
      <w:tr>
        <w:tc>
          <w:tcPr>
            <w:tcW w:type="dxa" w:w="3600"/>
            <w:vAlign w:val="center"/>
          </w:tcPr>
          <w:p>
            <w:r/>
            <w:r>
              <w:rPr>
                <w:rFonts w:ascii="Aptos" w:hAnsi="Aptos"/>
                <w:b w:val="0"/>
                <w:sz w:val="18"/>
              </w:rPr>
              <w:t>Customer</w:t>
            </w:r>
          </w:p>
        </w:tc>
        <w:tc>
          <w:tcPr>
            <w:tcW w:type="dxa" w:w="7632"/>
            <w:vAlign w:val="center"/>
          </w:tcPr>
          <w:p>
            <w:r/>
            <w:r>
              <w:rPr>
                <w:rFonts w:ascii="Aptos" w:hAnsi="Aptos"/>
                <w:b w:val="0"/>
                <w:sz w:val="18"/>
              </w:rPr>
              <w:t>Contractant/payeur</w:t>
            </w:r>
          </w:p>
        </w:tc>
      </w:tr>
      <w:tr>
        <w:tc>
          <w:tcPr>
            <w:tcW w:type="dxa" w:w="3600"/>
            <w:vAlign w:val="center"/>
          </w:tcPr>
          <w:p>
            <w:r/>
            <w:r>
              <w:rPr>
                <w:rFonts w:ascii="Aptos" w:hAnsi="Aptos"/>
                <w:b w:val="0"/>
                <w:sz w:val="18"/>
              </w:rPr>
              <w:t>Subscription</w:t>
            </w:r>
          </w:p>
        </w:tc>
        <w:tc>
          <w:tcPr>
            <w:tcW w:type="dxa" w:w="7632"/>
            <w:vAlign w:val="center"/>
          </w:tcPr>
          <w:p>
            <w:r/>
            <w:r>
              <w:rPr>
                <w:rFonts w:ascii="Aptos" w:hAnsi="Aptos"/>
                <w:b w:val="0"/>
                <w:sz w:val="18"/>
              </w:rPr>
              <w:t>Relation commerciale et état</w:t>
            </w:r>
          </w:p>
        </w:tc>
      </w:tr>
      <w:tr>
        <w:tc>
          <w:tcPr>
            <w:tcW w:type="dxa" w:w="3600"/>
            <w:vAlign w:val="center"/>
          </w:tcPr>
          <w:p>
            <w:r/>
            <w:r>
              <w:rPr>
                <w:rFonts w:ascii="Aptos" w:hAnsi="Aptos"/>
                <w:b w:val="0"/>
                <w:sz w:val="18"/>
              </w:rPr>
              <w:t>Workspace</w:t>
            </w:r>
          </w:p>
        </w:tc>
        <w:tc>
          <w:tcPr>
            <w:tcW w:type="dxa" w:w="7632"/>
            <w:vAlign w:val="center"/>
          </w:tcPr>
          <w:p>
            <w:r/>
            <w:r>
              <w:rPr>
                <w:rFonts w:ascii="Aptos" w:hAnsi="Aptos"/>
                <w:b w:val="0"/>
                <w:sz w:val="18"/>
              </w:rPr>
              <w:t>Contexte fonctionnel</w:t>
            </w:r>
          </w:p>
        </w:tc>
      </w:tr>
      <w:tr>
        <w:tc>
          <w:tcPr>
            <w:tcW w:type="dxa" w:w="3600"/>
            <w:vAlign w:val="center"/>
          </w:tcPr>
          <w:p>
            <w:r/>
            <w:r>
              <w:rPr>
                <w:rFonts w:ascii="Aptos" w:hAnsi="Aptos"/>
                <w:b w:val="0"/>
                <w:sz w:val="18"/>
              </w:rPr>
              <w:t>SubscriptionWorkspace</w:t>
            </w:r>
          </w:p>
        </w:tc>
        <w:tc>
          <w:tcPr>
            <w:tcW w:type="dxa" w:w="7632"/>
            <w:vAlign w:val="center"/>
          </w:tcPr>
          <w:p>
            <w:r/>
            <w:r>
              <w:rPr>
                <w:rFonts w:ascii="Aptos" w:hAnsi="Aptos"/>
                <w:b w:val="0"/>
                <w:sz w:val="18"/>
              </w:rPr>
              <w:t>Couverture commerciale du workspace</w:t>
            </w:r>
          </w:p>
        </w:tc>
      </w:tr>
      <w:tr>
        <w:tc>
          <w:tcPr>
            <w:tcW w:type="dxa" w:w="3600"/>
            <w:vAlign w:val="center"/>
          </w:tcPr>
          <w:p>
            <w:r/>
            <w:r>
              <w:rPr>
                <w:rFonts w:ascii="Aptos" w:hAnsi="Aptos"/>
                <w:b w:val="0"/>
                <w:sz w:val="18"/>
              </w:rPr>
              <w:t>WorkspaceMembership</w:t>
            </w:r>
          </w:p>
        </w:tc>
        <w:tc>
          <w:tcPr>
            <w:tcW w:type="dxa" w:w="7632"/>
            <w:vAlign w:val="center"/>
          </w:tcPr>
          <w:p>
            <w:r/>
            <w:r>
              <w:rPr>
                <w:rFonts w:ascii="Aptos" w:hAnsi="Aptos"/>
                <w:b w:val="0"/>
                <w:sz w:val="18"/>
              </w:rPr>
              <w:t>Relation User ↔ Workspace + rôle</w:t>
            </w:r>
          </w:p>
        </w:tc>
      </w:tr>
      <w:tr>
        <w:tc>
          <w:tcPr>
            <w:tcW w:type="dxa" w:w="3600"/>
            <w:vAlign w:val="center"/>
          </w:tcPr>
          <w:p>
            <w:r/>
            <w:r>
              <w:rPr>
                <w:rFonts w:ascii="Aptos" w:hAnsi="Aptos"/>
                <w:b w:val="0"/>
                <w:sz w:val="18"/>
              </w:rPr>
              <w:t>Role</w:t>
            </w:r>
          </w:p>
        </w:tc>
        <w:tc>
          <w:tcPr>
            <w:tcW w:type="dxa" w:w="7632"/>
            <w:vAlign w:val="center"/>
          </w:tcPr>
          <w:p>
            <w:r/>
            <w:r>
              <w:rPr>
                <w:rFonts w:ascii="Aptos" w:hAnsi="Aptos"/>
                <w:b w:val="0"/>
                <w:sz w:val="18"/>
              </w:rPr>
              <w:t>Bundle de permissions</w:t>
            </w:r>
          </w:p>
        </w:tc>
      </w:tr>
      <w:tr>
        <w:tc>
          <w:tcPr>
            <w:tcW w:type="dxa" w:w="3600"/>
            <w:vAlign w:val="center"/>
          </w:tcPr>
          <w:p>
            <w:r/>
            <w:r>
              <w:rPr>
                <w:rFonts w:ascii="Aptos" w:hAnsi="Aptos"/>
                <w:b w:val="0"/>
                <w:sz w:val="18"/>
              </w:rPr>
              <w:t>Permission</w:t>
            </w:r>
          </w:p>
        </w:tc>
        <w:tc>
          <w:tcPr>
            <w:tcW w:type="dxa" w:w="7632"/>
            <w:vAlign w:val="center"/>
          </w:tcPr>
          <w:p>
            <w:r/>
            <w:r>
              <w:rPr>
                <w:rFonts w:ascii="Aptos" w:hAnsi="Aptos"/>
                <w:b w:val="0"/>
                <w:sz w:val="18"/>
              </w:rPr>
              <w:t>Capacité autorisable</w:t>
            </w:r>
          </w:p>
        </w:tc>
      </w:tr>
      <w:tr>
        <w:tc>
          <w:tcPr>
            <w:tcW w:type="dxa" w:w="3600"/>
            <w:vAlign w:val="center"/>
          </w:tcPr>
          <w:p>
            <w:r/>
            <w:r>
              <w:rPr>
                <w:rFonts w:ascii="Aptos" w:hAnsi="Aptos"/>
                <w:b w:val="0"/>
                <w:sz w:val="18"/>
              </w:rPr>
              <w:t>RolePermission</w:t>
            </w:r>
          </w:p>
        </w:tc>
        <w:tc>
          <w:tcPr>
            <w:tcW w:type="dxa" w:w="7632"/>
            <w:vAlign w:val="center"/>
          </w:tcPr>
          <w:p>
            <w:r/>
            <w:r>
              <w:rPr>
                <w:rFonts w:ascii="Aptos" w:hAnsi="Aptos"/>
                <w:b w:val="0"/>
                <w:sz w:val="18"/>
              </w:rPr>
              <w:t>Permissions par rôle</w:t>
            </w:r>
          </w:p>
        </w:tc>
      </w:tr>
      <w:tr>
        <w:tc>
          <w:tcPr>
            <w:tcW w:type="dxa" w:w="3600"/>
            <w:vAlign w:val="center"/>
          </w:tcPr>
          <w:p>
            <w:r/>
            <w:r>
              <w:rPr>
                <w:rFonts w:ascii="Aptos" w:hAnsi="Aptos"/>
                <w:b w:val="0"/>
                <w:sz w:val="18"/>
              </w:rPr>
              <w:t>UserPermissionOverride</w:t>
            </w:r>
          </w:p>
        </w:tc>
        <w:tc>
          <w:tcPr>
            <w:tcW w:type="dxa" w:w="7632"/>
            <w:vAlign w:val="center"/>
          </w:tcPr>
          <w:p>
            <w:r/>
            <w:r>
              <w:rPr>
                <w:rFonts w:ascii="Aptos" w:hAnsi="Aptos"/>
                <w:b w:val="0"/>
                <w:sz w:val="18"/>
              </w:rPr>
              <w:t>Exception ponctuelle au niveau membership</w:t>
            </w:r>
          </w:p>
        </w:tc>
      </w:tr>
      <w:tr>
        <w:tc>
          <w:tcPr>
            <w:tcW w:type="dxa" w:w="3600"/>
            <w:vAlign w:val="center"/>
          </w:tcPr>
          <w:p>
            <w:r/>
            <w:r>
              <w:rPr>
                <w:rFonts w:ascii="Aptos" w:hAnsi="Aptos"/>
                <w:b w:val="0"/>
                <w:sz w:val="18"/>
              </w:rPr>
              <w:t>AuditEvent</w:t>
            </w:r>
          </w:p>
        </w:tc>
        <w:tc>
          <w:tcPr>
            <w:tcW w:type="dxa" w:w="7632"/>
            <w:vAlign w:val="center"/>
          </w:tcPr>
          <w:p>
            <w:r/>
            <w:r>
              <w:rPr>
                <w:rFonts w:ascii="Aptos" w:hAnsi="Aptos"/>
                <w:b w:val="0"/>
                <w:sz w:val="18"/>
              </w:rPr>
              <w:t>Événement administratif/sécurité</w:t>
            </w:r>
          </w:p>
        </w:tc>
      </w:tr>
    </w:tbl>
    <w:p/>
    <w:p>
      <w:r>
        <w:t>Un PostgreSQL unique est suffisant pour la V1. Aucun besoin ne justifie un service ou datastore séparé pour le licensing.</w:t>
      </w:r>
    </w:p>
    <w:p>
      <w:pPr>
        <w:pStyle w:val="Heading1"/>
      </w:pPr>
      <w:r>
        <w:t>19. Architecture applicative recommandée</w:t>
      </w:r>
    </w:p>
    <w:p>
      <w:r>
        <w:t>Recommandation V1 : modular monolith .NET.</w:t>
      </w:r>
    </w:p>
    <w:p>
      <w:pPr>
        <w:pStyle w:val="CodeBlock"/>
      </w:pPr>
      <w:r>
        <w:t>Apologia application</w:t>
      </w:r>
    </w:p>
    <w:p>
      <w:pPr>
        <w:pStyle w:val="CodeBlock"/>
      </w:pPr>
      <w:r>
        <w:t>|--- Identity</w:t>
      </w:r>
    </w:p>
    <w:p>
      <w:pPr>
        <w:pStyle w:val="CodeBlock"/>
      </w:pPr>
      <w:r>
        <w:t>|--- CommercialAccess</w:t>
      </w:r>
    </w:p>
    <w:p>
      <w:pPr>
        <w:pStyle w:val="CodeBlock"/>
      </w:pPr>
      <w:r>
        <w:t>|--- Workspaces</w:t>
      </w:r>
    </w:p>
    <w:p>
      <w:pPr>
        <w:pStyle w:val="CodeBlock"/>
      </w:pPr>
      <w:r>
        <w:t>|--- Authorization</w:t>
      </w:r>
    </w:p>
    <w:p>
      <w:pPr>
        <w:pStyle w:val="CodeBlock"/>
      </w:pPr>
      <w:r>
        <w:t>|--- PlatformAdministration</w:t>
      </w:r>
    </w:p>
    <w:p>
      <w:pPr>
        <w:pStyle w:val="CodeBlock"/>
      </w:pPr>
      <w:r>
        <w:t>`--- Apologia functional domains</w:t>
      </w:r>
    </w:p>
    <w:p>
      <w:pPr>
        <w:pStyle w:val="CodeBlock"/>
      </w:pPr>
      <w:r>
        <w:t xml:space="preserve">        ↓</w:t>
      </w:r>
    </w:p>
    <w:p>
      <w:pPr>
        <w:pStyle w:val="CodeBlock"/>
      </w:pPr>
      <w:r>
        <w:t xml:space="preserve">      PostgreSQL</w:t>
      </w:r>
    </w:p>
    <w:p>
      <w:pPr>
        <w:pStyle w:val="ListBullet"/>
      </w:pPr>
      <w:r>
        <w:t>ASP.NET Core pour le backend.</w:t>
      </w:r>
    </w:p>
    <w:p>
      <w:pPr>
        <w:pStyle w:val="ListBullet"/>
      </w:pPr>
      <w:r>
        <w:t>Blazor pour l’interface, cohérent avec l’environnement produit.</w:t>
      </w:r>
    </w:p>
    <w:p>
      <w:pPr>
        <w:pStyle w:val="ListBullet"/>
      </w:pPr>
      <w:r>
        <w:t>PostgreSQL comme stockage transactionnel.</w:t>
      </w:r>
    </w:p>
    <w:p>
      <w:pPr>
        <w:pStyle w:val="ListBullet"/>
      </w:pPr>
      <w:r>
        <w:t>Frontières modulaires logiques avant multiplication d’assemblies ou de services.</w:t>
      </w:r>
    </w:p>
    <w:p>
      <w:pPr>
        <w:pStyle w:val="ListBullet"/>
      </w:pPr>
      <w:r>
        <w:t>Pas de microservices tant que les contraintes d’organisation, de scaling ou de déploiement ne le justifient pas.</w:t>
      </w:r>
    </w:p>
    <w:p>
      <w:pPr>
        <w:pStyle w:val="Heading1"/>
      </w:pPr>
      <w:r>
        <w:t>20. Évolutions prévues après V1</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rFonts w:ascii="Aptos" w:hAnsi="Aptos"/>
                <w:b/>
                <w:sz w:val="18"/>
              </w:rPr>
              <w:t>Évolution</w:t>
            </w:r>
          </w:p>
        </w:tc>
        <w:tc>
          <w:tcPr>
            <w:tcW w:type="dxa" w:w="8064"/>
            <w:vAlign w:val="center"/>
            <w:shd w:fill="D9EAF7"/>
          </w:tcPr>
          <w:p>
            <w:r/>
            <w:r>
              <w:rPr>
                <w:rFonts w:ascii="Aptos" w:hAnsi="Aptos"/>
                <w:b/>
                <w:sz w:val="18"/>
              </w:rPr>
              <w:t>But</w:t>
            </w:r>
          </w:p>
        </w:tc>
      </w:tr>
      <w:tr>
        <w:tc>
          <w:tcPr>
            <w:tcW w:type="dxa" w:w="3168"/>
            <w:vAlign w:val="center"/>
          </w:tcPr>
          <w:p>
            <w:r/>
            <w:r>
              <w:rPr>
                <w:rFonts w:ascii="Aptos" w:hAnsi="Aptos"/>
                <w:b w:val="0"/>
                <w:sz w:val="18"/>
              </w:rPr>
              <w:t>Organization hierarchy</w:t>
            </w:r>
          </w:p>
        </w:tc>
        <w:tc>
          <w:tcPr>
            <w:tcW w:type="dxa" w:w="8064"/>
            <w:vAlign w:val="center"/>
          </w:tcPr>
          <w:p>
            <w:r/>
            <w:r>
              <w:rPr>
                <w:rFonts w:ascii="Aptos" w:hAnsi="Aptos"/>
                <w:b w:val="0"/>
                <w:sz w:val="18"/>
              </w:rPr>
              <w:t>Regroupements local, régional, national et international avec portée descendante.</w:t>
            </w:r>
          </w:p>
        </w:tc>
      </w:tr>
      <w:tr>
        <w:tc>
          <w:tcPr>
            <w:tcW w:type="dxa" w:w="3168"/>
            <w:vAlign w:val="center"/>
          </w:tcPr>
          <w:p>
            <w:r/>
            <w:r>
              <w:rPr>
                <w:rFonts w:ascii="Aptos" w:hAnsi="Aptos"/>
                <w:b w:val="0"/>
                <w:sz w:val="18"/>
              </w:rPr>
              <w:t>Organization RBAC</w:t>
            </w:r>
          </w:p>
        </w:tc>
        <w:tc>
          <w:tcPr>
            <w:tcW w:type="dxa" w:w="8064"/>
            <w:vAlign w:val="center"/>
          </w:tcPr>
          <w:p>
            <w:r/>
            <w:r>
              <w:rPr>
                <w:rFonts w:ascii="Aptos" w:hAnsi="Aptos"/>
                <w:b w:val="0"/>
                <w:sz w:val="18"/>
              </w:rPr>
              <w:t>OrganizationViewer, OrganizationAdmin, OrganizationBillingAdmin et délégation.</w:t>
            </w:r>
          </w:p>
        </w:tc>
      </w:tr>
      <w:tr>
        <w:tc>
          <w:tcPr>
            <w:tcW w:type="dxa" w:w="3168"/>
            <w:vAlign w:val="center"/>
          </w:tcPr>
          <w:p>
            <w:r/>
            <w:r>
              <w:rPr>
                <w:rFonts w:ascii="Aptos" w:hAnsi="Aptos"/>
                <w:b w:val="0"/>
                <w:sz w:val="18"/>
              </w:rPr>
              <w:t>Subscription allocation</w:t>
            </w:r>
          </w:p>
        </w:tc>
        <w:tc>
          <w:tcPr>
            <w:tcW w:type="dxa" w:w="8064"/>
            <w:vAlign w:val="center"/>
          </w:tcPr>
          <w:p>
            <w:r/>
            <w:r>
              <w:rPr>
                <w:rFonts w:ascii="Aptos" w:hAnsi="Aptos"/>
                <w:b w:val="0"/>
                <w:sz w:val="18"/>
              </w:rPr>
              <w:t>Répartition de sièges/quotas entre workspaces descendants.</w:t>
            </w:r>
          </w:p>
        </w:tc>
      </w:tr>
      <w:tr>
        <w:tc>
          <w:tcPr>
            <w:tcW w:type="dxa" w:w="3168"/>
            <w:vAlign w:val="center"/>
          </w:tcPr>
          <w:p>
            <w:r/>
            <w:r>
              <w:rPr>
                <w:rFonts w:ascii="Aptos" w:hAnsi="Aptos"/>
                <w:b w:val="0"/>
                <w:sz w:val="18"/>
              </w:rPr>
              <w:t>Automated billing</w:t>
            </w:r>
          </w:p>
        </w:tc>
        <w:tc>
          <w:tcPr>
            <w:tcW w:type="dxa" w:w="8064"/>
            <w:vAlign w:val="center"/>
          </w:tcPr>
          <w:p>
            <w:r/>
            <w:r>
              <w:rPr>
                <w:rFonts w:ascii="Aptos" w:hAnsi="Aptos"/>
                <w:b w:val="0"/>
                <w:sz w:val="18"/>
              </w:rPr>
              <w:t>Provider de paiement, webhooks, renouvellement, grace period et dunning.</w:t>
            </w:r>
          </w:p>
        </w:tc>
      </w:tr>
      <w:tr>
        <w:tc>
          <w:tcPr>
            <w:tcW w:type="dxa" w:w="3168"/>
            <w:vAlign w:val="center"/>
          </w:tcPr>
          <w:p>
            <w:r/>
            <w:r>
              <w:rPr>
                <w:rFonts w:ascii="Aptos" w:hAnsi="Aptos"/>
                <w:b w:val="0"/>
                <w:sz w:val="18"/>
              </w:rPr>
              <w:t>SupportSession</w:t>
            </w:r>
          </w:p>
        </w:tc>
        <w:tc>
          <w:tcPr>
            <w:tcW w:type="dxa" w:w="8064"/>
            <w:vAlign w:val="center"/>
          </w:tcPr>
          <w:p>
            <w:r/>
            <w:r>
              <w:rPr>
                <w:rFonts w:ascii="Aptos" w:hAnsi="Aptos"/>
                <w:b w:val="0"/>
                <w:sz w:val="18"/>
              </w:rPr>
              <w:t>Prise de contexte temporaire, limitée et auditée pour le support.</w:t>
            </w:r>
          </w:p>
        </w:tc>
      </w:tr>
      <w:tr>
        <w:tc>
          <w:tcPr>
            <w:tcW w:type="dxa" w:w="3168"/>
            <w:vAlign w:val="center"/>
          </w:tcPr>
          <w:p>
            <w:r/>
            <w:r>
              <w:rPr>
                <w:rFonts w:ascii="Aptos" w:hAnsi="Aptos"/>
                <w:b w:val="0"/>
                <w:sz w:val="18"/>
              </w:rPr>
              <w:t>Entitlement engine</w:t>
            </w:r>
          </w:p>
        </w:tc>
        <w:tc>
          <w:tcPr>
            <w:tcW w:type="dxa" w:w="8064"/>
            <w:vAlign w:val="center"/>
          </w:tcPr>
          <w:p>
            <w:r/>
            <w:r>
              <w:rPr>
                <w:rFonts w:ascii="Aptos" w:hAnsi="Aptos"/>
                <w:b w:val="0"/>
                <w:sz w:val="18"/>
              </w:rPr>
              <w:t>Capacités et quotas commerciaux plus fins si les offres se complexifient.</w:t>
            </w:r>
          </w:p>
        </w:tc>
      </w:tr>
      <w:tr>
        <w:tc>
          <w:tcPr>
            <w:tcW w:type="dxa" w:w="3168"/>
            <w:vAlign w:val="center"/>
          </w:tcPr>
          <w:p>
            <w:r/>
            <w:r>
              <w:rPr>
                <w:rFonts w:ascii="Aptos" w:hAnsi="Aptos"/>
                <w:b w:val="0"/>
                <w:sz w:val="18"/>
              </w:rPr>
              <w:t>Enterprise IAM</w:t>
            </w:r>
          </w:p>
        </w:tc>
        <w:tc>
          <w:tcPr>
            <w:tcW w:type="dxa" w:w="8064"/>
            <w:vAlign w:val="center"/>
          </w:tcPr>
          <w:p>
            <w:r/>
            <w:r>
              <w:rPr>
                <w:rFonts w:ascii="Aptos" w:hAnsi="Aptos"/>
                <w:b w:val="0"/>
                <w:sz w:val="18"/>
              </w:rPr>
              <w:t>SSO, fédération, SCIM ou intégrations entreprises si la demande apparaît.</w:t>
            </w:r>
          </w:p>
        </w:tc>
      </w:tr>
      <w:tr>
        <w:tc>
          <w:tcPr>
            <w:tcW w:type="dxa" w:w="3168"/>
            <w:vAlign w:val="center"/>
          </w:tcPr>
          <w:p>
            <w:r/>
            <w:r>
              <w:rPr>
                <w:rFonts w:ascii="Aptos" w:hAnsi="Aptos"/>
                <w:b w:val="0"/>
                <w:sz w:val="18"/>
              </w:rPr>
              <w:t>Minor compliance</w:t>
            </w:r>
          </w:p>
        </w:tc>
        <w:tc>
          <w:tcPr>
            <w:tcW w:type="dxa" w:w="8064"/>
            <w:vAlign w:val="center"/>
          </w:tcPr>
          <w:p>
            <w:r/>
            <w:r>
              <w:rPr>
                <w:rFonts w:ascii="Aptos" w:hAnsi="Aptos"/>
                <w:b w:val="0"/>
                <w:sz w:val="18"/>
              </w:rPr>
              <w:t>Règles légales, consentements et garanties adaptées avant commercialisation publique.</w:t>
            </w:r>
          </w:p>
        </w:tc>
      </w:tr>
      <w:tr>
        <w:tc>
          <w:tcPr>
            <w:tcW w:type="dxa" w:w="3168"/>
            <w:vAlign w:val="center"/>
          </w:tcPr>
          <w:p>
            <w:r/>
            <w:r>
              <w:rPr>
                <w:rFonts w:ascii="Aptos" w:hAnsi="Aptos"/>
                <w:b w:val="0"/>
                <w:sz w:val="18"/>
              </w:rPr>
              <w:t>Content rights</w:t>
            </w:r>
          </w:p>
        </w:tc>
        <w:tc>
          <w:tcPr>
            <w:tcW w:type="dxa" w:w="8064"/>
            <w:vAlign w:val="center"/>
          </w:tcPr>
          <w:p>
            <w:r/>
            <w:r>
              <w:rPr>
                <w:rFonts w:ascii="Aptos" w:hAnsi="Aptos"/>
                <w:b w:val="0"/>
                <w:sz w:val="18"/>
              </w:rPr>
              <w:t>Politiques plus fines pour export, accès et redistribution de contenu protégé.</w:t>
            </w:r>
          </w:p>
        </w:tc>
      </w:tr>
    </w:tbl>
    <w:p/>
    <w:p>
      <w:pPr>
        <w:pStyle w:val="Heading1"/>
      </w:pPr>
      <w:r>
        <w:t>21. Registre des décisions</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D9EAF7"/>
          </w:tcPr>
          <w:p>
            <w:r/>
            <w:r>
              <w:rPr>
                <w:rFonts w:ascii="Aptos" w:hAnsi="Aptos"/>
                <w:b/>
                <w:sz w:val="18"/>
              </w:rPr>
              <w:t>ID</w:t>
            </w:r>
          </w:p>
        </w:tc>
        <w:tc>
          <w:tcPr>
            <w:tcW w:type="dxa" w:w="1440"/>
            <w:vAlign w:val="center"/>
            <w:shd w:fill="D9EAF7"/>
          </w:tcPr>
          <w:p>
            <w:r/>
            <w:r>
              <w:rPr>
                <w:rFonts w:ascii="Aptos" w:hAnsi="Aptos"/>
                <w:b/>
                <w:sz w:val="18"/>
              </w:rPr>
              <w:t>Statut</w:t>
            </w:r>
          </w:p>
        </w:tc>
        <w:tc>
          <w:tcPr>
            <w:tcW w:type="dxa" w:w="8784"/>
            <w:vAlign w:val="center"/>
            <w:shd w:fill="D9EAF7"/>
          </w:tcPr>
          <w:p>
            <w:r/>
            <w:r>
              <w:rPr>
                <w:rFonts w:ascii="Aptos" w:hAnsi="Aptos"/>
                <w:b/>
                <w:sz w:val="18"/>
              </w:rPr>
              <w:t>Décision</w:t>
            </w:r>
          </w:p>
        </w:tc>
      </w:tr>
      <w:tr>
        <w:tc>
          <w:tcPr>
            <w:tcW w:type="dxa" w:w="1008"/>
            <w:vAlign w:val="center"/>
          </w:tcPr>
          <w:p>
            <w:r/>
            <w:r>
              <w:rPr>
                <w:rFonts w:ascii="Aptos" w:hAnsi="Aptos"/>
                <w:b w:val="0"/>
                <w:sz w:val="18"/>
              </w:rPr>
              <w:t>D-01</w:t>
            </w:r>
          </w:p>
        </w:tc>
        <w:tc>
          <w:tcPr>
            <w:tcW w:type="dxa" w:w="1440"/>
            <w:vAlign w:val="center"/>
          </w:tcPr>
          <w:p>
            <w:r/>
            <w:r>
              <w:rPr>
                <w:rFonts w:ascii="Aptos" w:hAnsi="Aptos"/>
                <w:b w:val="0"/>
                <w:sz w:val="18"/>
              </w:rPr>
              <w:t>DECIDED</w:t>
            </w:r>
          </w:p>
        </w:tc>
        <w:tc>
          <w:tcPr>
            <w:tcW w:type="dxa" w:w="8784"/>
            <w:vAlign w:val="center"/>
          </w:tcPr>
          <w:p>
            <w:r/>
            <w:r>
              <w:rPr>
                <w:rFonts w:ascii="Aptos" w:hAnsi="Aptos"/>
                <w:b w:val="0"/>
                <w:sz w:val="18"/>
              </w:rPr>
              <w:t>User est global et multi-workspaces.</w:t>
            </w:r>
          </w:p>
        </w:tc>
      </w:tr>
      <w:tr>
        <w:tc>
          <w:tcPr>
            <w:tcW w:type="dxa" w:w="1008"/>
            <w:vAlign w:val="center"/>
          </w:tcPr>
          <w:p>
            <w:r/>
            <w:r>
              <w:rPr>
                <w:rFonts w:ascii="Aptos" w:hAnsi="Aptos"/>
                <w:b w:val="0"/>
                <w:sz w:val="18"/>
              </w:rPr>
              <w:t>D-02</w:t>
            </w:r>
          </w:p>
        </w:tc>
        <w:tc>
          <w:tcPr>
            <w:tcW w:type="dxa" w:w="1440"/>
            <w:vAlign w:val="center"/>
          </w:tcPr>
          <w:p>
            <w:r/>
            <w:r>
              <w:rPr>
                <w:rFonts w:ascii="Aptos" w:hAnsi="Aptos"/>
                <w:b w:val="0"/>
                <w:sz w:val="18"/>
              </w:rPr>
              <w:t>DECIDED</w:t>
            </w:r>
          </w:p>
        </w:tc>
        <w:tc>
          <w:tcPr>
            <w:tcW w:type="dxa" w:w="8784"/>
            <w:vAlign w:val="center"/>
          </w:tcPr>
          <w:p>
            <w:r/>
            <w:r>
              <w:rPr>
                <w:rFonts w:ascii="Aptos" w:hAnsi="Aptos"/>
                <w:b w:val="0"/>
                <w:sz w:val="18"/>
              </w:rPr>
              <w:t>Customer et User sont distincts.</w:t>
            </w:r>
          </w:p>
        </w:tc>
      </w:tr>
      <w:tr>
        <w:tc>
          <w:tcPr>
            <w:tcW w:type="dxa" w:w="1008"/>
            <w:vAlign w:val="center"/>
          </w:tcPr>
          <w:p>
            <w:r/>
            <w:r>
              <w:rPr>
                <w:rFonts w:ascii="Aptos" w:hAnsi="Aptos"/>
                <w:b w:val="0"/>
                <w:sz w:val="18"/>
              </w:rPr>
              <w:t>D-03</w:t>
            </w:r>
          </w:p>
        </w:tc>
        <w:tc>
          <w:tcPr>
            <w:tcW w:type="dxa" w:w="1440"/>
            <w:vAlign w:val="center"/>
          </w:tcPr>
          <w:p>
            <w:r/>
            <w:r>
              <w:rPr>
                <w:rFonts w:ascii="Aptos" w:hAnsi="Aptos"/>
                <w:b w:val="0"/>
                <w:sz w:val="18"/>
              </w:rPr>
              <w:t>DECIDED</w:t>
            </w:r>
          </w:p>
        </w:tc>
        <w:tc>
          <w:tcPr>
            <w:tcW w:type="dxa" w:w="8784"/>
            <w:vAlign w:val="center"/>
          </w:tcPr>
          <w:p>
            <w:r/>
            <w:r>
              <w:rPr>
                <w:rFonts w:ascii="Aptos" w:hAnsi="Aptos"/>
                <w:b w:val="0"/>
                <w:sz w:val="18"/>
              </w:rPr>
              <w:t>Customer peut posséder plusieurs subscriptions.</w:t>
            </w:r>
          </w:p>
        </w:tc>
      </w:tr>
      <w:tr>
        <w:tc>
          <w:tcPr>
            <w:tcW w:type="dxa" w:w="1008"/>
            <w:vAlign w:val="center"/>
          </w:tcPr>
          <w:p>
            <w:r/>
            <w:r>
              <w:rPr>
                <w:rFonts w:ascii="Aptos" w:hAnsi="Aptos"/>
                <w:b w:val="0"/>
                <w:sz w:val="18"/>
              </w:rPr>
              <w:t>D-04</w:t>
            </w:r>
          </w:p>
        </w:tc>
        <w:tc>
          <w:tcPr>
            <w:tcW w:type="dxa" w:w="1440"/>
            <w:vAlign w:val="center"/>
          </w:tcPr>
          <w:p>
            <w:r/>
            <w:r>
              <w:rPr>
                <w:rFonts w:ascii="Aptos" w:hAnsi="Aptos"/>
                <w:b w:val="0"/>
                <w:sz w:val="18"/>
              </w:rPr>
              <w:t>DECIDED</w:t>
            </w:r>
          </w:p>
        </w:tc>
        <w:tc>
          <w:tcPr>
            <w:tcW w:type="dxa" w:w="8784"/>
            <w:vAlign w:val="center"/>
          </w:tcPr>
          <w:p>
            <w:r/>
            <w:r>
              <w:rPr>
                <w:rFonts w:ascii="Aptos" w:hAnsi="Aptos"/>
                <w:b w:val="0"/>
                <w:sz w:val="18"/>
              </w:rPr>
              <w:t>Subscription peut couvrir plusieurs workspaces.</w:t>
            </w:r>
          </w:p>
        </w:tc>
      </w:tr>
      <w:tr>
        <w:tc>
          <w:tcPr>
            <w:tcW w:type="dxa" w:w="1008"/>
            <w:vAlign w:val="center"/>
          </w:tcPr>
          <w:p>
            <w:r/>
            <w:r>
              <w:rPr>
                <w:rFonts w:ascii="Aptos" w:hAnsi="Aptos"/>
                <w:b w:val="0"/>
                <w:sz w:val="18"/>
              </w:rPr>
              <w:t>D-05</w:t>
            </w:r>
          </w:p>
        </w:tc>
        <w:tc>
          <w:tcPr>
            <w:tcW w:type="dxa" w:w="1440"/>
            <w:vAlign w:val="center"/>
          </w:tcPr>
          <w:p>
            <w:r/>
            <w:r>
              <w:rPr>
                <w:rFonts w:ascii="Aptos" w:hAnsi="Aptos"/>
                <w:b w:val="0"/>
                <w:sz w:val="18"/>
              </w:rPr>
              <w:t>DECIDED</w:t>
            </w:r>
          </w:p>
        </w:tc>
        <w:tc>
          <w:tcPr>
            <w:tcW w:type="dxa" w:w="8784"/>
            <w:vAlign w:val="center"/>
          </w:tcPr>
          <w:p>
            <w:r/>
            <w:r>
              <w:rPr>
                <w:rFonts w:ascii="Aptos" w:hAnsi="Aptos"/>
                <w:b w:val="0"/>
                <w:sz w:val="18"/>
              </w:rPr>
              <w:t>Workspace peut exister indépendamment d’une subscription.</w:t>
            </w:r>
          </w:p>
        </w:tc>
      </w:tr>
      <w:tr>
        <w:tc>
          <w:tcPr>
            <w:tcW w:type="dxa" w:w="1008"/>
            <w:vAlign w:val="center"/>
          </w:tcPr>
          <w:p>
            <w:r/>
            <w:r>
              <w:rPr>
                <w:rFonts w:ascii="Aptos" w:hAnsi="Aptos"/>
                <w:b w:val="0"/>
                <w:sz w:val="18"/>
              </w:rPr>
              <w:t>D-06</w:t>
            </w:r>
          </w:p>
        </w:tc>
        <w:tc>
          <w:tcPr>
            <w:tcW w:type="dxa" w:w="1440"/>
            <w:vAlign w:val="center"/>
          </w:tcPr>
          <w:p>
            <w:r/>
            <w:r>
              <w:rPr>
                <w:rFonts w:ascii="Aptos" w:hAnsi="Aptos"/>
                <w:b w:val="0"/>
                <w:sz w:val="18"/>
              </w:rPr>
              <w:t>DECIDED</w:t>
            </w:r>
          </w:p>
        </w:tc>
        <w:tc>
          <w:tcPr>
            <w:tcW w:type="dxa" w:w="8784"/>
            <w:vAlign w:val="center"/>
          </w:tcPr>
          <w:p>
            <w:r/>
            <w:r>
              <w:rPr>
                <w:rFonts w:ascii="Aptos" w:hAnsi="Aptos"/>
                <w:b w:val="0"/>
                <w:sz w:val="18"/>
              </w:rPr>
              <w:t>Workspace est la frontière fonctionnelle et de sécurité principale.</w:t>
            </w:r>
          </w:p>
        </w:tc>
      </w:tr>
      <w:tr>
        <w:tc>
          <w:tcPr>
            <w:tcW w:type="dxa" w:w="1008"/>
            <w:vAlign w:val="center"/>
          </w:tcPr>
          <w:p>
            <w:r/>
            <w:r>
              <w:rPr>
                <w:rFonts w:ascii="Aptos" w:hAnsi="Aptos"/>
                <w:b w:val="0"/>
                <w:sz w:val="18"/>
              </w:rPr>
              <w:t>D-07</w:t>
            </w:r>
          </w:p>
        </w:tc>
        <w:tc>
          <w:tcPr>
            <w:tcW w:type="dxa" w:w="1440"/>
            <w:vAlign w:val="center"/>
          </w:tcPr>
          <w:p>
            <w:r/>
            <w:r>
              <w:rPr>
                <w:rFonts w:ascii="Aptos" w:hAnsi="Aptos"/>
                <w:b w:val="0"/>
                <w:sz w:val="18"/>
              </w:rPr>
              <w:t>DECIDED</w:t>
            </w:r>
          </w:p>
        </w:tc>
        <w:tc>
          <w:tcPr>
            <w:tcW w:type="dxa" w:w="8784"/>
            <w:vAlign w:val="center"/>
          </w:tcPr>
          <w:p>
            <w:r/>
            <w:r>
              <w:rPr>
                <w:rFonts w:ascii="Aptos" w:hAnsi="Aptos"/>
                <w:b w:val="0"/>
                <w:sz w:val="18"/>
              </w:rPr>
              <w:t>RBAC principal + exceptions utilisateur ponctuelles.</w:t>
            </w:r>
          </w:p>
        </w:tc>
      </w:tr>
      <w:tr>
        <w:tc>
          <w:tcPr>
            <w:tcW w:type="dxa" w:w="1008"/>
            <w:vAlign w:val="center"/>
          </w:tcPr>
          <w:p>
            <w:r/>
            <w:r>
              <w:rPr>
                <w:rFonts w:ascii="Aptos" w:hAnsi="Aptos"/>
                <w:b w:val="0"/>
                <w:sz w:val="18"/>
              </w:rPr>
              <w:t>D-08</w:t>
            </w:r>
          </w:p>
        </w:tc>
        <w:tc>
          <w:tcPr>
            <w:tcW w:type="dxa" w:w="1440"/>
            <w:vAlign w:val="center"/>
          </w:tcPr>
          <w:p>
            <w:r/>
            <w:r>
              <w:rPr>
                <w:rFonts w:ascii="Aptos" w:hAnsi="Aptos"/>
                <w:b w:val="0"/>
                <w:sz w:val="18"/>
              </w:rPr>
              <w:t>DECIDED</w:t>
            </w:r>
          </w:p>
        </w:tc>
        <w:tc>
          <w:tcPr>
            <w:tcW w:type="dxa" w:w="8784"/>
            <w:vAlign w:val="center"/>
          </w:tcPr>
          <w:p>
            <w:r/>
            <w:r>
              <w:rPr>
                <w:rFonts w:ascii="Aptos" w:hAnsi="Aptos"/>
                <w:b w:val="0"/>
                <w:sz w:val="18"/>
              </w:rPr>
              <w:t>Administration bêta via console interne dédiée.</w:t>
            </w:r>
          </w:p>
        </w:tc>
      </w:tr>
      <w:tr>
        <w:tc>
          <w:tcPr>
            <w:tcW w:type="dxa" w:w="1008"/>
            <w:vAlign w:val="center"/>
          </w:tcPr>
          <w:p>
            <w:r/>
            <w:r>
              <w:rPr>
                <w:rFonts w:ascii="Aptos" w:hAnsi="Aptos"/>
                <w:b w:val="0"/>
                <w:sz w:val="18"/>
              </w:rPr>
              <w:t>D-09</w:t>
            </w:r>
          </w:p>
        </w:tc>
        <w:tc>
          <w:tcPr>
            <w:tcW w:type="dxa" w:w="1440"/>
            <w:vAlign w:val="center"/>
          </w:tcPr>
          <w:p>
            <w:r/>
            <w:r>
              <w:rPr>
                <w:rFonts w:ascii="Aptos" w:hAnsi="Aptos"/>
                <w:b w:val="0"/>
                <w:sz w:val="18"/>
              </w:rPr>
              <w:t>DECIDED</w:t>
            </w:r>
          </w:p>
        </w:tc>
        <w:tc>
          <w:tcPr>
            <w:tcW w:type="dxa" w:w="8784"/>
            <w:vAlign w:val="center"/>
          </w:tcPr>
          <w:p>
            <w:r/>
            <w:r>
              <w:rPr>
                <w:rFonts w:ascii="Aptos" w:hAnsi="Aptos"/>
                <w:b w:val="0"/>
                <w:sz w:val="18"/>
              </w:rPr>
              <w:t>Paiement automatisé hors scope V1.</w:t>
            </w:r>
          </w:p>
        </w:tc>
      </w:tr>
      <w:tr>
        <w:tc>
          <w:tcPr>
            <w:tcW w:type="dxa" w:w="1008"/>
            <w:vAlign w:val="center"/>
          </w:tcPr>
          <w:p>
            <w:r/>
            <w:r>
              <w:rPr>
                <w:rFonts w:ascii="Aptos" w:hAnsi="Aptos"/>
                <w:b w:val="0"/>
                <w:sz w:val="18"/>
              </w:rPr>
              <w:t>D-10</w:t>
            </w:r>
          </w:p>
        </w:tc>
        <w:tc>
          <w:tcPr>
            <w:tcW w:type="dxa" w:w="1440"/>
            <w:vAlign w:val="center"/>
          </w:tcPr>
          <w:p>
            <w:r/>
            <w:r>
              <w:rPr>
                <w:rFonts w:ascii="Aptos" w:hAnsi="Aptos"/>
                <w:b w:val="0"/>
                <w:sz w:val="18"/>
              </w:rPr>
              <w:t>DECIDED</w:t>
            </w:r>
          </w:p>
        </w:tc>
        <w:tc>
          <w:tcPr>
            <w:tcW w:type="dxa" w:w="8784"/>
            <w:vAlign w:val="center"/>
          </w:tcPr>
          <w:p>
            <w:r/>
            <w:r>
              <w:rPr>
                <w:rFonts w:ascii="Aptos" w:hAnsi="Aptos"/>
                <w:b w:val="0"/>
                <w:sz w:val="18"/>
              </w:rPr>
              <w:t>SupportSession/impersonation mature hors scope V1.</w:t>
            </w:r>
          </w:p>
        </w:tc>
      </w:tr>
      <w:tr>
        <w:tc>
          <w:tcPr>
            <w:tcW w:type="dxa" w:w="1008"/>
            <w:vAlign w:val="center"/>
          </w:tcPr>
          <w:p>
            <w:r/>
            <w:r>
              <w:rPr>
                <w:rFonts w:ascii="Aptos" w:hAnsi="Aptos"/>
                <w:b w:val="0"/>
                <w:sz w:val="18"/>
              </w:rPr>
              <w:t>D-11</w:t>
            </w:r>
          </w:p>
        </w:tc>
        <w:tc>
          <w:tcPr>
            <w:tcW w:type="dxa" w:w="1440"/>
            <w:vAlign w:val="center"/>
          </w:tcPr>
          <w:p>
            <w:r/>
            <w:r>
              <w:rPr>
                <w:rFonts w:ascii="Aptos" w:hAnsi="Aptos"/>
                <w:b w:val="0"/>
                <w:sz w:val="18"/>
              </w:rPr>
              <w:t>DECIDED</w:t>
            </w:r>
          </w:p>
        </w:tc>
        <w:tc>
          <w:tcPr>
            <w:tcW w:type="dxa" w:w="8784"/>
            <w:vAlign w:val="center"/>
          </w:tcPr>
          <w:p>
            <w:r/>
            <w:r>
              <w:rPr>
                <w:rFonts w:ascii="Aptos" w:hAnsi="Aptos"/>
                <w:b w:val="0"/>
                <w:sz w:val="18"/>
              </w:rPr>
              <w:t>Hiérarchie complète d’organisations hors scope V1.</w:t>
            </w:r>
          </w:p>
        </w:tc>
      </w:tr>
      <w:tr>
        <w:tc>
          <w:tcPr>
            <w:tcW w:type="dxa" w:w="1008"/>
            <w:vAlign w:val="center"/>
          </w:tcPr>
          <w:p>
            <w:r/>
            <w:r>
              <w:rPr>
                <w:rFonts w:ascii="Aptos" w:hAnsi="Aptos"/>
                <w:b w:val="0"/>
                <w:sz w:val="18"/>
              </w:rPr>
              <w:t>D-12</w:t>
            </w:r>
          </w:p>
        </w:tc>
        <w:tc>
          <w:tcPr>
            <w:tcW w:type="dxa" w:w="1440"/>
            <w:vAlign w:val="center"/>
          </w:tcPr>
          <w:p>
            <w:r/>
            <w:r>
              <w:rPr>
                <w:rFonts w:ascii="Aptos" w:hAnsi="Aptos"/>
                <w:b w:val="0"/>
                <w:sz w:val="18"/>
              </w:rPr>
              <w:t>DECIDED</w:t>
            </w:r>
          </w:p>
        </w:tc>
        <w:tc>
          <w:tcPr>
            <w:tcW w:type="dxa" w:w="8784"/>
            <w:vAlign w:val="center"/>
          </w:tcPr>
          <w:p>
            <w:r/>
            <w:r>
              <w:rPr>
                <w:rFonts w:ascii="Aptos" w:hAnsi="Aptos"/>
                <w:b w:val="0"/>
                <w:sz w:val="18"/>
              </w:rPr>
              <w:t>Gestion juridique automatisée des mineurs hors scope V1 bêta.</w:t>
            </w:r>
          </w:p>
        </w:tc>
      </w:tr>
      <w:tr>
        <w:tc>
          <w:tcPr>
            <w:tcW w:type="dxa" w:w="1008"/>
            <w:vAlign w:val="center"/>
          </w:tcPr>
          <w:p>
            <w:r/>
            <w:r>
              <w:rPr>
                <w:rFonts w:ascii="Aptos" w:hAnsi="Aptos"/>
                <w:b w:val="0"/>
                <w:sz w:val="18"/>
              </w:rPr>
              <w:t>D-13</w:t>
            </w:r>
          </w:p>
        </w:tc>
        <w:tc>
          <w:tcPr>
            <w:tcW w:type="dxa" w:w="1440"/>
            <w:vAlign w:val="center"/>
          </w:tcPr>
          <w:p>
            <w:r/>
            <w:r>
              <w:rPr>
                <w:rFonts w:ascii="Aptos" w:hAnsi="Aptos"/>
                <w:b w:val="0"/>
                <w:sz w:val="18"/>
              </w:rPr>
              <w:t>DECIDED</w:t>
            </w:r>
          </w:p>
        </w:tc>
        <w:tc>
          <w:tcPr>
            <w:tcW w:type="dxa" w:w="8784"/>
            <w:vAlign w:val="center"/>
          </w:tcPr>
          <w:p>
            <w:r/>
            <w:r>
              <w:rPr>
                <w:rFonts w:ascii="Aptos" w:hAnsi="Aptos"/>
                <w:b w:val="0"/>
                <w:sz w:val="18"/>
              </w:rPr>
              <w:t>Pas d’accès direct aux œuvres protégées par simple subscription.</w:t>
            </w:r>
          </w:p>
        </w:tc>
      </w:tr>
      <w:tr>
        <w:tc>
          <w:tcPr>
            <w:tcW w:type="dxa" w:w="1008"/>
            <w:vAlign w:val="center"/>
          </w:tcPr>
          <w:p>
            <w:r/>
            <w:r>
              <w:rPr>
                <w:rFonts w:ascii="Aptos" w:hAnsi="Aptos"/>
                <w:b w:val="0"/>
                <w:sz w:val="18"/>
              </w:rPr>
              <w:t>D-14</w:t>
            </w:r>
          </w:p>
        </w:tc>
        <w:tc>
          <w:tcPr>
            <w:tcW w:type="dxa" w:w="1440"/>
            <w:vAlign w:val="center"/>
          </w:tcPr>
          <w:p>
            <w:r/>
            <w:r>
              <w:rPr>
                <w:rFonts w:ascii="Aptos" w:hAnsi="Aptos"/>
                <w:b w:val="0"/>
                <w:sz w:val="18"/>
              </w:rPr>
              <w:t>DEFERRED</w:t>
            </w:r>
          </w:p>
        </w:tc>
        <w:tc>
          <w:tcPr>
            <w:tcW w:type="dxa" w:w="8784"/>
            <w:vAlign w:val="center"/>
          </w:tcPr>
          <w:p>
            <w:r/>
            <w:r>
              <w:rPr>
                <w:rFonts w:ascii="Aptos" w:hAnsi="Aptos"/>
                <w:b w:val="0"/>
                <w:sz w:val="18"/>
              </w:rPr>
              <w:t>Plans commerciaux définitifs et tarifs.</w:t>
            </w:r>
          </w:p>
        </w:tc>
      </w:tr>
      <w:tr>
        <w:tc>
          <w:tcPr>
            <w:tcW w:type="dxa" w:w="1008"/>
            <w:vAlign w:val="center"/>
          </w:tcPr>
          <w:p>
            <w:r/>
            <w:r>
              <w:rPr>
                <w:rFonts w:ascii="Aptos" w:hAnsi="Aptos"/>
                <w:b w:val="0"/>
                <w:sz w:val="18"/>
              </w:rPr>
              <w:t>D-15</w:t>
            </w:r>
          </w:p>
        </w:tc>
        <w:tc>
          <w:tcPr>
            <w:tcW w:type="dxa" w:w="1440"/>
            <w:vAlign w:val="center"/>
          </w:tcPr>
          <w:p>
            <w:r/>
            <w:r>
              <w:rPr>
                <w:rFonts w:ascii="Aptos" w:hAnsi="Aptos"/>
                <w:b w:val="0"/>
                <w:sz w:val="18"/>
              </w:rPr>
              <w:t>DEFERRED</w:t>
            </w:r>
          </w:p>
        </w:tc>
        <w:tc>
          <w:tcPr>
            <w:tcW w:type="dxa" w:w="8784"/>
            <w:vAlign w:val="center"/>
          </w:tcPr>
          <w:p>
            <w:r/>
            <w:r>
              <w:rPr>
                <w:rFonts w:ascii="Aptos" w:hAnsi="Aptos"/>
                <w:b w:val="0"/>
                <w:sz w:val="18"/>
              </w:rPr>
              <w:t>Quotas et entitlement engine avancé.</w:t>
            </w:r>
          </w:p>
        </w:tc>
      </w:tr>
      <w:tr>
        <w:tc>
          <w:tcPr>
            <w:tcW w:type="dxa" w:w="1008"/>
            <w:vAlign w:val="center"/>
          </w:tcPr>
          <w:p>
            <w:r/>
            <w:r>
              <w:rPr>
                <w:rFonts w:ascii="Aptos" w:hAnsi="Aptos"/>
                <w:b w:val="0"/>
                <w:sz w:val="18"/>
              </w:rPr>
              <w:t>D-16</w:t>
            </w:r>
          </w:p>
        </w:tc>
        <w:tc>
          <w:tcPr>
            <w:tcW w:type="dxa" w:w="1440"/>
            <w:vAlign w:val="center"/>
          </w:tcPr>
          <w:p>
            <w:r/>
            <w:r>
              <w:rPr>
                <w:rFonts w:ascii="Aptos" w:hAnsi="Aptos"/>
                <w:b w:val="0"/>
                <w:sz w:val="18"/>
              </w:rPr>
              <w:t>OPEN</w:t>
            </w:r>
          </w:p>
        </w:tc>
        <w:tc>
          <w:tcPr>
            <w:tcW w:type="dxa" w:w="8784"/>
            <w:vAlign w:val="center"/>
          </w:tcPr>
          <w:p>
            <w:r/>
            <w:r>
              <w:rPr>
                <w:rFonts w:ascii="Aptos" w:hAnsi="Aptos"/>
                <w:b w:val="0"/>
                <w:sz w:val="18"/>
              </w:rPr>
              <w:t>Liste finale exacte des permissions V1 avant implémentation.</w:t>
            </w:r>
          </w:p>
        </w:tc>
      </w:tr>
      <w:tr>
        <w:tc>
          <w:tcPr>
            <w:tcW w:type="dxa" w:w="1008"/>
            <w:vAlign w:val="center"/>
          </w:tcPr>
          <w:p>
            <w:r/>
            <w:r>
              <w:rPr>
                <w:rFonts w:ascii="Aptos" w:hAnsi="Aptos"/>
                <w:b w:val="0"/>
                <w:sz w:val="18"/>
              </w:rPr>
              <w:t>D-17</w:t>
            </w:r>
          </w:p>
        </w:tc>
        <w:tc>
          <w:tcPr>
            <w:tcW w:type="dxa" w:w="1440"/>
            <w:vAlign w:val="center"/>
          </w:tcPr>
          <w:p>
            <w:r/>
            <w:r>
              <w:rPr>
                <w:rFonts w:ascii="Aptos" w:hAnsi="Aptos"/>
                <w:b w:val="0"/>
                <w:sz w:val="18"/>
              </w:rPr>
              <w:t>OPEN</w:t>
            </w:r>
          </w:p>
        </w:tc>
        <w:tc>
          <w:tcPr>
            <w:tcW w:type="dxa" w:w="8784"/>
            <w:vAlign w:val="center"/>
          </w:tcPr>
          <w:p>
            <w:r/>
            <w:r>
              <w:rPr>
                <w:rFonts w:ascii="Aptos" w:hAnsi="Aptos"/>
                <w:b w:val="0"/>
                <w:sz w:val="18"/>
              </w:rPr>
              <w:t>Modalités exactes de rétention des workspaces après expiration/cancellation.</w:t>
            </w:r>
          </w:p>
        </w:tc>
      </w:tr>
    </w:tbl>
    <w:p/>
    <w:p>
      <w:pPr>
        <w:pStyle w:val="Heading1"/>
      </w:pPr>
      <w:r>
        <w:t>22. Risques architecturaux à surveiller</w:t>
      </w:r>
    </w:p>
    <w:tbl>
      <w:tblPr>
        <w:tblStyle w:val="TableGrid"/>
        <w:tblW w:type="auto" w:w="0"/>
        <w:jc w:val="center"/>
        <w:tblLook w:firstColumn="1" w:firstRow="1" w:lastColumn="0" w:lastRow="0" w:noHBand="0" w:noVBand="1" w:val="04A0"/>
      </w:tblPr>
      <w:tblGrid>
        <w:gridCol w:w="3360"/>
        <w:gridCol w:w="3360"/>
        <w:gridCol w:w="3360"/>
      </w:tblGrid>
      <w:tr>
        <w:tc>
          <w:tcPr>
            <w:tcW w:type="dxa" w:w="864"/>
            <w:vAlign w:val="center"/>
            <w:shd w:fill="D9EAF7"/>
          </w:tcPr>
          <w:p>
            <w:r/>
            <w:r>
              <w:rPr>
                <w:rFonts w:ascii="Aptos" w:hAnsi="Aptos"/>
                <w:b/>
                <w:sz w:val="18"/>
              </w:rPr>
              <w:t>ID</w:t>
            </w:r>
          </w:p>
        </w:tc>
        <w:tc>
          <w:tcPr>
            <w:tcW w:type="dxa" w:w="3456"/>
            <w:vAlign w:val="center"/>
            <w:shd w:fill="D9EAF7"/>
          </w:tcPr>
          <w:p>
            <w:r/>
            <w:r>
              <w:rPr>
                <w:rFonts w:ascii="Aptos" w:hAnsi="Aptos"/>
                <w:b/>
                <w:sz w:val="18"/>
              </w:rPr>
              <w:t>Risque</w:t>
            </w:r>
          </w:p>
        </w:tc>
        <w:tc>
          <w:tcPr>
            <w:tcW w:type="dxa" w:w="6912"/>
            <w:vAlign w:val="center"/>
            <w:shd w:fill="D9EAF7"/>
          </w:tcPr>
          <w:p>
            <w:r/>
            <w:r>
              <w:rPr>
                <w:rFonts w:ascii="Aptos" w:hAnsi="Aptos"/>
                <w:b/>
                <w:sz w:val="18"/>
              </w:rPr>
              <w:t>Conséquence</w:t>
            </w:r>
          </w:p>
        </w:tc>
      </w:tr>
      <w:tr>
        <w:tc>
          <w:tcPr>
            <w:tcW w:type="dxa" w:w="864"/>
            <w:vAlign w:val="center"/>
          </w:tcPr>
          <w:p>
            <w:r/>
            <w:r>
              <w:rPr>
                <w:rFonts w:ascii="Aptos" w:hAnsi="Aptos"/>
                <w:b w:val="0"/>
                <w:sz w:val="18"/>
              </w:rPr>
              <w:t>R1</w:t>
            </w:r>
          </w:p>
        </w:tc>
        <w:tc>
          <w:tcPr>
            <w:tcW w:type="dxa" w:w="3456"/>
            <w:vAlign w:val="center"/>
          </w:tcPr>
          <w:p>
            <w:r/>
            <w:r>
              <w:rPr>
                <w:rFonts w:ascii="Aptos" w:hAnsi="Aptos"/>
                <w:b w:val="0"/>
                <w:sz w:val="18"/>
              </w:rPr>
              <w:t>Confondre Customer et Workspace</w:t>
            </w:r>
          </w:p>
        </w:tc>
        <w:tc>
          <w:tcPr>
            <w:tcW w:type="dxa" w:w="6912"/>
            <w:vAlign w:val="center"/>
          </w:tcPr>
          <w:p>
            <w:r/>
            <w:r>
              <w:rPr>
                <w:rFonts w:ascii="Aptos" w:hAnsi="Aptos"/>
                <w:b w:val="0"/>
                <w:sz w:val="18"/>
              </w:rPr>
              <w:t>Créerait un modèle incapable de couvrir plusieurs contextes pour un même payeur.</w:t>
            </w:r>
          </w:p>
        </w:tc>
      </w:tr>
      <w:tr>
        <w:tc>
          <w:tcPr>
            <w:tcW w:type="dxa" w:w="864"/>
            <w:vAlign w:val="center"/>
          </w:tcPr>
          <w:p>
            <w:r/>
            <w:r>
              <w:rPr>
                <w:rFonts w:ascii="Aptos" w:hAnsi="Aptos"/>
                <w:b w:val="0"/>
                <w:sz w:val="18"/>
              </w:rPr>
              <w:t>R2</w:t>
            </w:r>
          </w:p>
        </w:tc>
        <w:tc>
          <w:tcPr>
            <w:tcW w:type="dxa" w:w="3456"/>
            <w:vAlign w:val="center"/>
          </w:tcPr>
          <w:p>
            <w:r/>
            <w:r>
              <w:rPr>
                <w:rFonts w:ascii="Aptos" w:hAnsi="Aptos"/>
                <w:b w:val="0"/>
                <w:sz w:val="18"/>
              </w:rPr>
              <w:t>Coupler Workspace et Subscription</w:t>
            </w:r>
          </w:p>
        </w:tc>
        <w:tc>
          <w:tcPr>
            <w:tcW w:type="dxa" w:w="6912"/>
            <w:vAlign w:val="center"/>
          </w:tcPr>
          <w:p>
            <w:r/>
            <w:r>
              <w:rPr>
                <w:rFonts w:ascii="Aptos" w:hAnsi="Aptos"/>
                <w:b w:val="0"/>
                <w:sz w:val="18"/>
              </w:rPr>
              <w:t>Rendrait les changements d’offre, transferts et suspensions destructifs ou complexes.</w:t>
            </w:r>
          </w:p>
        </w:tc>
      </w:tr>
      <w:tr>
        <w:tc>
          <w:tcPr>
            <w:tcW w:type="dxa" w:w="864"/>
            <w:vAlign w:val="center"/>
          </w:tcPr>
          <w:p>
            <w:r/>
            <w:r>
              <w:rPr>
                <w:rFonts w:ascii="Aptos" w:hAnsi="Aptos"/>
                <w:b w:val="0"/>
                <w:sz w:val="18"/>
              </w:rPr>
              <w:t>R3</w:t>
            </w:r>
          </w:p>
        </w:tc>
        <w:tc>
          <w:tcPr>
            <w:tcW w:type="dxa" w:w="3456"/>
            <w:vAlign w:val="center"/>
          </w:tcPr>
          <w:p>
            <w:r/>
            <w:r>
              <w:rPr>
                <w:rFonts w:ascii="Aptos" w:hAnsi="Aptos"/>
                <w:b w:val="0"/>
                <w:sz w:val="18"/>
              </w:rPr>
              <w:t>Multiplier les rôles/permissions trop tôt</w:t>
            </w:r>
          </w:p>
        </w:tc>
        <w:tc>
          <w:tcPr>
            <w:tcW w:type="dxa" w:w="6912"/>
            <w:vAlign w:val="center"/>
          </w:tcPr>
          <w:p>
            <w:r/>
            <w:r>
              <w:rPr>
                <w:rFonts w:ascii="Aptos" w:hAnsi="Aptos"/>
                <w:b w:val="0"/>
                <w:sz w:val="18"/>
              </w:rPr>
              <w:t>Risque de transformer une bêta en mini-IAM difficile à maintenir.</w:t>
            </w:r>
          </w:p>
        </w:tc>
      </w:tr>
      <w:tr>
        <w:tc>
          <w:tcPr>
            <w:tcW w:type="dxa" w:w="864"/>
            <w:vAlign w:val="center"/>
          </w:tcPr>
          <w:p>
            <w:r/>
            <w:r>
              <w:rPr>
                <w:rFonts w:ascii="Aptos" w:hAnsi="Aptos"/>
                <w:b w:val="0"/>
                <w:sz w:val="18"/>
              </w:rPr>
              <w:t>R4</w:t>
            </w:r>
          </w:p>
        </w:tc>
        <w:tc>
          <w:tcPr>
            <w:tcW w:type="dxa" w:w="3456"/>
            <w:vAlign w:val="center"/>
          </w:tcPr>
          <w:p>
            <w:r/>
            <w:r>
              <w:rPr>
                <w:rFonts w:ascii="Aptos" w:hAnsi="Aptos"/>
                <w:b w:val="0"/>
                <w:sz w:val="18"/>
              </w:rPr>
              <w:t>Super-admin implicite sans audit</w:t>
            </w:r>
          </w:p>
        </w:tc>
        <w:tc>
          <w:tcPr>
            <w:tcW w:type="dxa" w:w="6912"/>
            <w:vAlign w:val="center"/>
          </w:tcPr>
          <w:p>
            <w:r/>
            <w:r>
              <w:rPr>
                <w:rFonts w:ascii="Aptos" w:hAnsi="Aptos"/>
                <w:b w:val="0"/>
                <w:sz w:val="18"/>
              </w:rPr>
              <w:t>Créerait un risque de sécurité et de traçabilité.</w:t>
            </w:r>
          </w:p>
        </w:tc>
      </w:tr>
      <w:tr>
        <w:tc>
          <w:tcPr>
            <w:tcW w:type="dxa" w:w="864"/>
            <w:vAlign w:val="center"/>
          </w:tcPr>
          <w:p>
            <w:r/>
            <w:r>
              <w:rPr>
                <w:rFonts w:ascii="Aptos" w:hAnsi="Aptos"/>
                <w:b w:val="0"/>
                <w:sz w:val="18"/>
              </w:rPr>
              <w:t>R5</w:t>
            </w:r>
          </w:p>
        </w:tc>
        <w:tc>
          <w:tcPr>
            <w:tcW w:type="dxa" w:w="3456"/>
            <w:vAlign w:val="center"/>
          </w:tcPr>
          <w:p>
            <w:r/>
            <w:r>
              <w:rPr>
                <w:rFonts w:ascii="Aptos" w:hAnsi="Aptos"/>
                <w:b w:val="0"/>
                <w:sz w:val="18"/>
              </w:rPr>
              <w:t>Autorisation seulement côté UI</w:t>
            </w:r>
          </w:p>
        </w:tc>
        <w:tc>
          <w:tcPr>
            <w:tcW w:type="dxa" w:w="6912"/>
            <w:vAlign w:val="center"/>
          </w:tcPr>
          <w:p>
            <w:r/>
            <w:r>
              <w:rPr>
                <w:rFonts w:ascii="Aptos" w:hAnsi="Aptos"/>
                <w:b w:val="0"/>
                <w:sz w:val="18"/>
              </w:rPr>
              <w:t>Permettrait le contournement par appels directs.</w:t>
            </w:r>
          </w:p>
        </w:tc>
      </w:tr>
      <w:tr>
        <w:tc>
          <w:tcPr>
            <w:tcW w:type="dxa" w:w="864"/>
            <w:vAlign w:val="center"/>
          </w:tcPr>
          <w:p>
            <w:r/>
            <w:r>
              <w:rPr>
                <w:rFonts w:ascii="Aptos" w:hAnsi="Aptos"/>
                <w:b w:val="0"/>
                <w:sz w:val="18"/>
              </w:rPr>
              <w:t>R6</w:t>
            </w:r>
          </w:p>
        </w:tc>
        <w:tc>
          <w:tcPr>
            <w:tcW w:type="dxa" w:w="3456"/>
            <w:vAlign w:val="center"/>
          </w:tcPr>
          <w:p>
            <w:r/>
            <w:r>
              <w:rPr>
                <w:rFonts w:ascii="Aptos" w:hAnsi="Aptos"/>
                <w:b w:val="0"/>
                <w:sz w:val="18"/>
              </w:rPr>
              <w:t>Fuite cross-workspace</w:t>
            </w:r>
          </w:p>
        </w:tc>
        <w:tc>
          <w:tcPr>
            <w:tcW w:type="dxa" w:w="6912"/>
            <w:vAlign w:val="center"/>
          </w:tcPr>
          <w:p>
            <w:r/>
            <w:r>
              <w:rPr>
                <w:rFonts w:ascii="Aptos" w:hAnsi="Aptos"/>
                <w:b w:val="0"/>
                <w:sz w:val="18"/>
              </w:rPr>
              <w:t>Risque critique de confidentialité par requête/cache non scopé.</w:t>
            </w:r>
          </w:p>
        </w:tc>
      </w:tr>
      <w:tr>
        <w:tc>
          <w:tcPr>
            <w:tcW w:type="dxa" w:w="864"/>
            <w:vAlign w:val="center"/>
          </w:tcPr>
          <w:p>
            <w:r/>
            <w:r>
              <w:rPr>
                <w:rFonts w:ascii="Aptos" w:hAnsi="Aptos"/>
                <w:b w:val="0"/>
                <w:sz w:val="18"/>
              </w:rPr>
              <w:t>R7</w:t>
            </w:r>
          </w:p>
        </w:tc>
        <w:tc>
          <w:tcPr>
            <w:tcW w:type="dxa" w:w="3456"/>
            <w:vAlign w:val="center"/>
          </w:tcPr>
          <w:p>
            <w:r/>
            <w:r>
              <w:rPr>
                <w:rFonts w:ascii="Aptos" w:hAnsi="Aptos"/>
                <w:b w:val="0"/>
                <w:sz w:val="18"/>
              </w:rPr>
              <w:t>Entitlement codé partout</w:t>
            </w:r>
          </w:p>
        </w:tc>
        <w:tc>
          <w:tcPr>
            <w:tcW w:type="dxa" w:w="6912"/>
            <w:vAlign w:val="center"/>
          </w:tcPr>
          <w:p>
            <w:r/>
            <w:r>
              <w:rPr>
                <w:rFonts w:ascii="Aptos" w:hAnsi="Aptos"/>
                <w:b w:val="0"/>
                <w:sz w:val="18"/>
              </w:rPr>
              <w:t>PlanCode dispersé et conditions métier difficiles à faire évoluer.</w:t>
            </w:r>
          </w:p>
        </w:tc>
      </w:tr>
      <w:tr>
        <w:tc>
          <w:tcPr>
            <w:tcW w:type="dxa" w:w="864"/>
            <w:vAlign w:val="center"/>
          </w:tcPr>
          <w:p>
            <w:r/>
            <w:r>
              <w:rPr>
                <w:rFonts w:ascii="Aptos" w:hAnsi="Aptos"/>
                <w:b w:val="0"/>
                <w:sz w:val="18"/>
              </w:rPr>
              <w:t>R8</w:t>
            </w:r>
          </w:p>
        </w:tc>
        <w:tc>
          <w:tcPr>
            <w:tcW w:type="dxa" w:w="3456"/>
            <w:vAlign w:val="center"/>
          </w:tcPr>
          <w:p>
            <w:r/>
            <w:r>
              <w:rPr>
                <w:rFonts w:ascii="Aptos" w:hAnsi="Aptos"/>
                <w:b w:val="0"/>
                <w:sz w:val="18"/>
              </w:rPr>
              <w:t>Conflation licence logicielle / droits de contenu</w:t>
            </w:r>
          </w:p>
        </w:tc>
        <w:tc>
          <w:tcPr>
            <w:tcW w:type="dxa" w:w="6912"/>
            <w:vAlign w:val="center"/>
          </w:tcPr>
          <w:p>
            <w:r/>
            <w:r>
              <w:rPr>
                <w:rFonts w:ascii="Aptos" w:hAnsi="Aptos"/>
                <w:b w:val="0"/>
                <w:sz w:val="18"/>
              </w:rPr>
              <w:t>Risque de donner à tort un accès ou export de contenu protégé.</w:t>
            </w:r>
          </w:p>
        </w:tc>
      </w:tr>
    </w:tbl>
    <w:p/>
    <w:p>
      <w:pPr>
        <w:pStyle w:val="Heading1"/>
      </w:pPr>
      <w:r>
        <w:t>23. Critères de réussite du cadrage V1</w:t>
      </w:r>
    </w:p>
    <w:p>
      <w:pPr>
        <w:pStyle w:val="ListBullet"/>
      </w:pPr>
      <w:r>
        <w:t>Un utilisateur unique peut naviguer entre plusieurs workspaces sans créer plusieurs identités.</w:t>
      </w:r>
    </w:p>
    <w:p>
      <w:pPr>
        <w:pStyle w:val="ListBullet"/>
      </w:pPr>
      <w:r>
        <w:t>Un particulier peut posséder plusieurs subscriptions indépendantes.</w:t>
      </w:r>
    </w:p>
    <w:p>
      <w:pPr>
        <w:pStyle w:val="ListBullet"/>
      </w:pPr>
      <w:r>
        <w:t>Une subscription peut couvrir plusieurs workspaces sans modifier leur identité fonctionnelle.</w:t>
      </w:r>
    </w:p>
    <w:p>
      <w:pPr>
        <w:pStyle w:val="ListBullet"/>
      </w:pPr>
      <w:r>
        <w:t>Un workspace reste intact lorsque sa subscription est suspendue ou expire.</w:t>
      </w:r>
    </w:p>
    <w:p>
      <w:pPr>
        <w:pStyle w:val="ListBullet"/>
      </w:pPr>
      <w:r>
        <w:t>Les permissions sont déterminées par le membership et le rôle du workspace actif.</w:t>
      </w:r>
    </w:p>
    <w:p>
      <w:pPr>
        <w:pStyle w:val="ListBullet"/>
      </w:pPr>
      <w:r>
        <w:t>Un RestrictedMember peut disposer de droits plus faibles qu’un Member du même workspace.</w:t>
      </w:r>
    </w:p>
    <w:p>
      <w:pPr>
        <w:pStyle w:val="ListBullet"/>
      </w:pPr>
      <w:r>
        <w:t>Un override utilisateur peut ajuster une permission sans dépasser les contraintes plateforme/commerciales.</w:t>
      </w:r>
    </w:p>
    <w:p>
      <w:pPr>
        <w:pStyle w:val="ListBullet"/>
      </w:pPr>
      <w:r>
        <w:t>La console bêta permet au PlatformAdministrator de corriger les principaux blocages sans manipulation directe de la base.</w:t>
      </w:r>
    </w:p>
    <w:p>
      <w:pPr>
        <w:pStyle w:val="ListBullet"/>
      </w:pPr>
      <w:r>
        <w:t>Toutes les opérations sensibles d’administration sont auditées.</w:t>
      </w:r>
    </w:p>
    <w:p>
      <w:pPr>
        <w:pStyle w:val="ListBullet"/>
      </w:pPr>
      <w:r>
        <w:t>Aucune fonctionnalité V1 n’implique que les utilisateurs puissent accéder directement aux fichiers protégés de la base de connaissance.</w:t>
      </w:r>
    </w:p>
    <w:p>
      <w:pPr>
        <w:pStyle w:val="Heading1"/>
      </w:pPr>
      <w:r>
        <w:t>24. Entrées nécessaires pour le futur SDD</w:t>
      </w:r>
    </w:p>
    <w:p>
      <w:r>
        <w:t>Après validation de ce cadrage, le SDD devra transformer ces concepts en conception technique détaillée. Les éléments suivants devront alors être décidés ou spécifiés :</w:t>
      </w:r>
    </w:p>
    <w:p>
      <w:pPr>
        <w:pStyle w:val="ListBullet"/>
      </w:pPr>
      <w:r>
        <w:t>Boundaries exactes des modules et namespaces/projets .NET.</w:t>
      </w:r>
    </w:p>
    <w:p>
      <w:pPr>
        <w:pStyle w:val="ListBullet"/>
      </w:pPr>
      <w:r>
        <w:t>Schéma PostgreSQL et contraintes d’intégrité.</w:t>
      </w:r>
    </w:p>
    <w:p>
      <w:pPr>
        <w:pStyle w:val="ListBullet"/>
      </w:pPr>
      <w:r>
        <w:t>API/use cases de gestion des customers, subscriptions, workspaces et memberships.</w:t>
      </w:r>
    </w:p>
    <w:p>
      <w:pPr>
        <w:pStyle w:val="ListBullet"/>
      </w:pPr>
      <w:r>
        <w:t>Mécanisme d’authentification choisi et intégration Identity.</w:t>
      </w:r>
    </w:p>
    <w:p>
      <w:pPr>
        <w:pStyle w:val="ListBullet"/>
      </w:pPr>
      <w:r>
        <w:t>Implémentation de l’évaluation des permissions et caching éventuel.</w:t>
      </w:r>
    </w:p>
    <w:p>
      <w:pPr>
        <w:pStyle w:val="ListBullet"/>
      </w:pPr>
      <w:r>
        <w:t>Gestion transactionnelle des changements de rôle, membership et couverture commerciale.</w:t>
      </w:r>
    </w:p>
    <w:p>
      <w:pPr>
        <w:pStyle w:val="ListBullet"/>
      </w:pPr>
      <w:r>
        <w:t>Contrats de la console Platform Administration.</w:t>
      </w:r>
    </w:p>
    <w:p>
      <w:pPr>
        <w:pStyle w:val="ListBullet"/>
      </w:pPr>
      <w:r>
        <w:t>Audit trail : événements, rétention et accès.</w:t>
      </w:r>
    </w:p>
    <w:p>
      <w:pPr>
        <w:pStyle w:val="ListBullet"/>
      </w:pPr>
      <w:r>
        <w:t>Gestion de la suspension/expiration sur les requêtes utilisateur.</w:t>
      </w:r>
    </w:p>
    <w:p>
      <w:pPr>
        <w:pStyle w:val="ListBullet"/>
      </w:pPr>
      <w:r>
        <w:t>Tests d’autorisation, tests cross-workspace, tests d’escalade de privilèges et tests de concurrence.</w:t>
      </w:r>
    </w:p>
    <w:p>
      <w:pPr>
        <w:pStyle w:val="ListBullet"/>
      </w:pPr>
      <w:r>
        <w:t>Migration et versionnement des données.</w:t>
      </w:r>
    </w:p>
    <w:p>
      <w:pPr>
        <w:pStyle w:val="ListBullet"/>
      </w:pPr>
      <w:r>
        <w:t>Observabilité minimale de la bêta.</w:t>
      </w:r>
    </w:p>
    <w:p>
      <w:pPr>
        <w:pStyle w:val="Heading1"/>
      </w:pPr>
      <w:r>
        <w:t>25. Synthèse de l’architecture retenue</w:t>
      </w:r>
    </w:p>
    <w:p>
      <w:pPr>
        <w:pStyle w:val="CodeBlock"/>
      </w:pPr>
      <w:r>
        <w:t>Identity</w:t>
      </w:r>
    </w:p>
    <w:p>
      <w:pPr>
        <w:pStyle w:val="CodeBlock"/>
      </w:pPr>
      <w:r>
        <w:t xml:space="preserve">    User</w:t>
      </w:r>
    </w:p>
    <w:p>
      <w:pPr>
        <w:pStyle w:val="CodeBlock"/>
      </w:pPr>
      <w:r>
        <w:t xml:space="preserve">      |</w:t>
      </w:r>
    </w:p>
    <w:p>
      <w:pPr>
        <w:pStyle w:val="CodeBlock"/>
      </w:pPr>
      <w:r>
        <w:t xml:space="preserve">      |----------------┐</w:t>
      </w:r>
    </w:p>
    <w:p>
      <w:pPr>
        <w:pStyle w:val="CodeBlock"/>
      </w:pPr>
      <w:r>
        <w:t xml:space="preserve">      |               |</w:t>
      </w:r>
    </w:p>
    <w:p>
      <w:pPr>
        <w:pStyle w:val="CodeBlock"/>
      </w:pPr>
      <w:r>
        <w:t xml:space="preserve">      v               v</w:t>
      </w:r>
    </w:p>
    <w:p>
      <w:pPr>
        <w:pStyle w:val="CodeBlock"/>
      </w:pPr>
      <w:r>
        <w:t>WorkspaceMembership  Workspace</w:t>
      </w:r>
    </w:p>
    <w:p>
      <w:pPr>
        <w:pStyle w:val="CodeBlock"/>
      </w:pPr>
      <w:r>
        <w:t xml:space="preserve">      |               ^</w:t>
      </w:r>
    </w:p>
    <w:p>
      <w:pPr>
        <w:pStyle w:val="CodeBlock"/>
      </w:pPr>
      <w:r>
        <w:t xml:space="preserve">      |               |</w:t>
      </w:r>
    </w:p>
    <w:p>
      <w:pPr>
        <w:pStyle w:val="CodeBlock"/>
      </w:pPr>
      <w:r>
        <w:t xml:space="preserve">      v               |</w:t>
      </w:r>
    </w:p>
    <w:p>
      <w:pPr>
        <w:pStyle w:val="CodeBlock"/>
      </w:pPr>
      <w:r>
        <w:t>Role / Permissions    |</w:t>
      </w:r>
    </w:p>
    <w:p>
      <w:pPr>
        <w:pStyle w:val="CodeBlock"/>
      </w:pPr>
      <w:r>
        <w:t xml:space="preserve">                      |</w:t>
      </w:r>
    </w:p>
    <w:p>
      <w:pPr>
        <w:pStyle w:val="CodeBlock"/>
      </w:pPr>
      <w:r>
        <w:t>Customer --1:N-- Subscription</w:t>
      </w:r>
    </w:p>
    <w:p>
      <w:pPr>
        <w:pStyle w:val="CodeBlock"/>
      </w:pPr>
      <w:r>
        <w:t xml:space="preserve">                  |</w:t>
      </w:r>
    </w:p>
    <w:p>
      <w:pPr>
        <w:pStyle w:val="CodeBlock"/>
      </w:pPr>
      <w:r>
        <w:t xml:space="preserve">                  N:N</w:t>
      </w:r>
    </w:p>
    <w:p>
      <w:pPr>
        <w:pStyle w:val="CodeBlock"/>
      </w:pPr>
      <w:r>
        <w:t xml:space="preserve">                  |</w:t>
      </w:r>
    </w:p>
    <w:p>
      <w:pPr>
        <w:pStyle w:val="CodeBlock"/>
      </w:pPr>
      <w:r>
        <w:t xml:space="preserve">          SubscriptionWorkspace</w:t>
      </w:r>
    </w:p>
    <w:p>
      <w:pPr>
        <w:pStyle w:val="CodeBlock"/>
      </w:pPr>
      <w:r>
        <w:t xml:space="preserve">                  |</w:t>
      </w:r>
    </w:p>
    <w:p>
      <w:pPr>
        <w:pStyle w:val="CodeBlock"/>
      </w:pPr>
      <w:r>
        <w:t xml:space="preserve">                  `---------------► Workspace</w:t>
      </w:r>
    </w:p>
    <w:p>
      <w:pPr>
        <w:pStyle w:val="CodeBlock"/>
      </w:pPr>
      <w:r/>
    </w:p>
    <w:p>
      <w:pPr>
        <w:pStyle w:val="CodeBlock"/>
      </w:pPr>
      <w:r>
        <w:t>Platform Administration</w:t>
      </w:r>
    </w:p>
    <w:p>
      <w:pPr>
        <w:pStyle w:val="CodeBlock"/>
      </w:pPr>
      <w:r>
        <w:t xml:space="preserve">    PlatformAdministrator</w:t>
      </w:r>
    </w:p>
    <w:p>
      <w:pPr>
        <w:pStyle w:val="CodeBlock"/>
      </w:pPr>
      <w:r>
        <w:t xml:space="preserve">    + audited privileged actions</w:t>
      </w:r>
    </w:p>
    <w:p>
      <w:r>
        <w:t>Le modèle V1 doit rester petit : une identité globale, des workspaces indépendants, une couverture commerciale séparée et un RBAC simple. Cette architecture couvre déjà les usages individuels, familiaux et d’église, tout en préservant l’évolution vers les regroupements d’églises, la facturation automatisée et le support contrôlé sans imposer ces complexités à la bêta.</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Apologia — Cadrage architectural accès / abonnements / workspaces —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360"/>
    </w:pPr>
    <w:rPr>
      <w:rFonts w:ascii="Consolas" w:hAnsi="Consolas"/>
      <w:sz w:val="18"/>
    </w:rPr>
  </w:style>
  <w:style w:type="paragraph" w:customStyle="1" w:styleId="Decision">
    <w:name w:val="Decision"/>
    <w:pPr>
      <w:spacing w:before="80" w:after="80"/>
      <w:ind w:left="216"/>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