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Capitalism Kritik</w:t>
      </w:r>
    </w:p>
    <w:p>
      <w:pPr>
        <w:pStyle w:val="Heading2"/>
      </w:pPr>
      <w:r>
        <w:t>Framework:</w:t>
      </w:r>
    </w:p>
    <w:p>
      <w:r>
        <w:t>Evaluate the assumptions that organize advocacy.</w:t>
      </w:r>
    </w:p>
    <w:p>
      <w:pPr>
        <w:pStyle w:val="Heading2"/>
      </w:pPr>
      <w:r>
        <w:t>Link:</w:t>
      </w:r>
    </w:p>
    <w:p>
      <w:r>
        <w:t>The affirmative treats growth as an unquestioned good.</w:t>
      </w:r>
    </w:p>
    <w:p>
      <w:pPr>
        <w:pStyle w:val="Heading2"/>
      </w:pPr>
      <w:r>
        <w:t>Impact:</w:t>
      </w:r>
    </w:p>
    <w:p>
      <w:r>
        <w:t>Growth-first logic reproduces exploitation.</w:t>
      </w:r>
    </w:p>
    <w:p>
      <w:pPr>
        <w:pStyle w:val="Heading2"/>
      </w:pPr>
      <w:r>
        <w:t>Alt:</w:t>
      </w:r>
    </w:p>
    <w:p>
      <w:r>
        <w:t>Reject growth as the default measure of welfare.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