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Conditionality Theory</w:t>
      </w:r>
    </w:p>
    <w:p>
      <w:pPr>
        <w:pStyle w:val="Heading2"/>
      </w:pPr>
      <w:r>
        <w:t>Counter-Interp:</w:t>
      </w:r>
    </w:p>
    <w:p>
      <w:r>
        <w:t>One conditional advocacy is permissible.</w:t>
      </w:r>
    </w:p>
    <w:p>
      <w:pPr>
        <w:pStyle w:val="Heading2"/>
      </w:pPr>
      <w:r>
        <w:t>Counter-Standards:</w:t>
      </w:r>
    </w:p>
    <w:p>
      <w:r>
        <w:t>Limited flexibility improves testing.</w:t>
      </w:r>
    </w:p>
    <w:p>
      <w:pPr>
        <w:pStyle w:val="Heading2"/>
      </w:pPr>
      <w:r>
        <w:t>Competing Interpretations</w:t>
      </w:r>
    </w:p>
    <w:p>
      <w:r>
        <w:t>Prefer the interpretation with the best model.</w:t>
      </w:r>
    </w:p>
    <w:p>
      <w:pPr>
        <w:pStyle w:val="Heading2"/>
      </w:pPr>
      <w:r>
        <w:t>Reasonability</w:t>
      </w:r>
    </w:p>
    <w:p>
      <w:r>
        <w:t>Reject only practices that are clearly abusive.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