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policy may have an impact on access, but this is an ordinary sentence.</w:t>
      </w:r>
    </w:p>
    <w:p>
      <w:r>
        <w:t>The causal link depends on service frequency and should not become a heading.</w:t>
      </w:r>
    </w:p>
    <w:p>
      <w:r>
        <w:t>Our framework for comparison considers both cost and geographic coverage.</w:t>
      </w:r>
    </w:p>
    <w:p>
      <w:r>
        <w:t>The claim that every highlighted phrase is structural would be unreliable.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