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 Rule Catalogue v0.3</w:t>
      </w:r>
    </w:p>
    <w:p>
      <w:r>
        <w:t>ControlCheck AI | Deterministic 20-rule catalogue | 24 August 2026</w:t>
      </w:r>
    </w:p>
    <w:p>
      <w:pPr>
        <w:pStyle w:val="Heading1"/>
      </w:pPr>
      <w:r>
        <w:t>Runtime contract</w:t>
      </w:r>
    </w:p>
    <w:p>
      <w:pPr>
        <w:spacing w:after="100"/>
      </w:pPr>
      <w:r>
        <w:t>All 20 MVP rules remain deterministic and catalogue-driven. Thresholds, severity, evidence requirements, and required domains are versioned with the catalogue SHA-256.</w:t>
      </w:r>
    </w:p>
    <w:p>
      <w:pPr>
        <w:spacing w:after="100"/>
      </w:pPr>
      <w:r>
        <w:t>A run records executed_rule_ids and skipped_rules. A skipped rule is not a finding and carries blocked_required_domain evidence for auditability.</w:t>
      </w:r>
    </w:p>
    <w:p>
      <w:pPr>
        <w:pStyle w:val="Heading1"/>
      </w:pPr>
      <w:r>
        <w:t>Data-quality semantics</w:t>
      </w:r>
    </w:p>
    <w:p>
      <w:pPr>
        <w:spacing w:after="100"/>
      </w:pPr>
      <w:r>
        <w:t>DQ-002 treats duplicate business IDs as a finding while canonical persistence keeps each source row addressable with source_key. DQ-003 reports contradictory actual dates without rewriting source values.</w:t>
      </w:r>
    </w:p>
    <w:p>
      <w:pPr>
        <w:pStyle w:val="Heading1"/>
      </w:pPr>
      <w:r>
        <w:t>Progress and evidence</w:t>
      </w:r>
    </w:p>
    <w:p>
      <w:pPr>
        <w:spacing w:after="100"/>
      </w:pPr>
      <w:r>
        <w:t>PRG-002 reports progress above 100% from the unchanged stored value. Every finding evidence item includes source sheet/rows, record IDs, fields, and BIGINT raw_row_ids when executed from a snapshot.</w:t>
      </w:r>
    </w:p>
    <w:p>
      <w:pPr>
        <w:pStyle w:val="Heading1"/>
      </w:pPr>
      <w:r>
        <w:t>AI boundary</w:t>
      </w:r>
    </w:p>
    <w:p>
      <w:pPr>
        <w:spacing w:after="100"/>
      </w:pPr>
      <w:r>
        <w:t>LLM reasoning may summarize and prioritize deterministic findings, but cannot change rule calculations, thresholds, severity, or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Rule Catalogue v0.3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2026-08-24T00:00:00Z</dcterms:modified>
  <cp:category/>
</cp:coreProperties>
</file>