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ERD &amp; Database Specification v0.3</w:t>
      </w:r>
    </w:p>
    <w:p>
      <w:r>
        <w:t>ControlCheck AI | Phase 4B canonical ingestion | 24 August 2026</w:t>
      </w:r>
    </w:p>
    <w:p>
      <w:pPr>
        <w:pStyle w:val="Heading1"/>
      </w:pPr>
      <w:r>
        <w:t>Executable authority</w:t>
      </w:r>
    </w:p>
    <w:p>
      <w:pPr>
        <w:spacing w:after="100"/>
      </w:pPr>
      <w:r>
        <w:t>Alembic migrations are the executable schema authority. The SQL file in docs/ is a readable reference and must not be applied directly.</w:t>
      </w:r>
    </w:p>
    <w:p>
      <w:pPr>
        <w:pStyle w:val="Heading1"/>
      </w:pPr>
      <w:r>
        <w:t>Canonical persistence</w:t>
      </w:r>
    </w:p>
    <w:p>
      <w:pPr>
        <w:spacing w:after="100"/>
      </w:pPr>
      <w:r>
        <w:t>Immutable dataset snapshots preserve the uploaded source file, workbook SHA-256, source_project_name, data date, row counts, domain status, and mapping profile.</w:t>
      </w:r>
    </w:p>
    <w:p>
      <w:pPr>
        <w:spacing w:after="100"/>
      </w:pPr>
      <w:r>
        <w:t>Raw rows use BIGINT identity and retain source sheet, source row number, raw payload, and source key. Canonical WBS, budget, actual cost, commitment, schedule, and progress facts are snapshot-scoped.</w:t>
      </w:r>
    </w:p>
    <w:p>
      <w:pPr>
        <w:pStyle w:val="Heading1"/>
      </w:pPr>
      <w:r>
        <w:t>Governance contracts</w:t>
      </w:r>
    </w:p>
    <w:p>
      <w:pPr>
        <w:spacing w:after="100"/>
      </w:pPr>
      <w:r>
        <w:t>The governed template is the only supported ingestion shape. Duplicate business IDs are retained as canonical facts while source_key persistence identity prevents collisions.</w:t>
      </w:r>
    </w:p>
    <w:p>
      <w:pPr>
        <w:spacing w:after="100"/>
      </w:pPr>
      <w:r>
        <w:t>Progress values above 100% and contradictory actual dates are stored unchanged; deterministic rules PRG-002 and DQ-003 report them.</w:t>
      </w:r>
    </w:p>
    <w:p>
      <w:pPr>
        <w:spacing w:after="100"/>
      </w:pPr>
      <w:r>
        <w:t>Partial-domain execution is explicit: rules run only when required domains are valid; blocked domains produce durable skipped-rule records.</w:t>
      </w:r>
    </w:p>
    <w:p>
      <w:pPr>
        <w:spacing w:after="100"/>
      </w:pPr>
      <w:r>
        <w:t>Authentication and complete RBAC remain deferred. X-Organization-ID is a controlled development tenant contract.</w:t>
      </w:r>
    </w:p>
    <w:p>
      <w:pPr>
        <w:pStyle w:val="Heading1"/>
      </w:pPr>
      <w:r>
        <w:t>Phase 4B tables</w:t>
      </w:r>
    </w:p>
    <w:p>
      <w:pPr>
        <w:spacing w:after="100"/>
      </w:pPr>
      <w:r>
        <w:t>dataset_snapshots, dataset_domain_statuses, raw_rows, wbs_facts, budget_facts, actual_cost_facts, commitment_facts, schedule_facts, and progress_facts extend Phase 4A durable analysis tables.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ERD &amp; Database Specification v0.3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2026-08-24T00:00:00Z</dcterms:modified>
  <cp:category/>
</cp:coreProperties>
</file>