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Product Requirements Document v0.4</w:t>
      </w:r>
    </w:p>
    <w:p>
      <w:r>
        <w:t>ControlCheck AI | Canonical ingestion and database-native analysis | 24 August 2026</w:t>
      </w:r>
    </w:p>
    <w:p>
      <w:pPr>
        <w:pStyle w:val="Heading1"/>
      </w:pPr>
      <w:r>
        <w:t>Objective</w:t>
      </w:r>
    </w:p>
    <w:p>
      <w:pPr>
        <w:spacing w:after="100"/>
      </w:pPr>
      <w:r>
        <w:t>Deliver a reproducible project-control audit workflow from governed workbook upload to immutable snapshot, canonical facts, deterministic analysis, traceable evidence, and durable API results.</w:t>
      </w:r>
    </w:p>
    <w:p>
      <w:pPr>
        <w:pStyle w:val="Heading1"/>
      </w:pPr>
      <w:r>
        <w:t>Phase 4B scope</w:t>
      </w:r>
    </w:p>
    <w:p>
      <w:pPr>
        <w:spacing w:after="100"/>
      </w:pPr>
      <w:r>
        <w:t>PostgreSQL canonical ingestion for 149 governed rows across Project_Info (12), WBS (9), Budget (73), Actual_Cost (6), Commitments (13), Schedule (36), and Progress (not counted in source total when absent in the fixture).</w:t>
      </w:r>
    </w:p>
    <w:p>
      <w:pPr>
        <w:spacing w:after="100"/>
      </w:pPr>
      <w:r>
        <w:t>Snapshot upload is idempotent by project, filename, workbook SHA-256, mapping profile, and catalogue-compatible input; force_new creates a new snapshot for the same bytes.</w:t>
      </w:r>
    </w:p>
    <w:p>
      <w:pPr>
        <w:spacing w:after="100"/>
      </w:pPr>
      <w:r>
        <w:t>Golden parity acceptance: 59 findings, 100% precision and recall, and exact equality of deterministic finding payloads between Excel and database snapshot execution. Boundary acceptance: zero findings.</w:t>
      </w:r>
    </w:p>
    <w:p>
      <w:pPr>
        <w:pStyle w:val="Heading1"/>
      </w:pPr>
      <w:r>
        <w:t>Explicit semantics</w:t>
      </w:r>
    </w:p>
    <w:p>
      <w:pPr>
        <w:spacing w:after="100"/>
      </w:pPr>
      <w:r>
        <w:t>Template-only ingestion; partial-domain execution; unchanged source anomalies; lossless source_project_name; BIGINT raw-row lineage; compatibility route retained for controlled migration.</w:t>
      </w:r>
    </w:p>
    <w:p>
      <w:pPr>
        <w:pStyle w:val="Heading1"/>
      </w:pPr>
      <w:r>
        <w:t>Deferred</w:t>
      </w:r>
    </w:p>
    <w:p>
      <w:pPr>
        <w:spacing w:after="100"/>
      </w:pPr>
      <w:r>
        <w:t>Authentication, complete RBAC, frontend, and LLM reasoning orchestration remain later phases. The current API is a backend validation surface, not a public production security boundary.</w:t>
      </w:r>
    </w:p>
    <w:p>
      <w:pPr>
        <w:pStyle w:val="Heading1"/>
      </w:pPr>
      <w:r>
        <w:t>Change log</w:t>
      </w:r>
    </w:p>
    <w:p>
      <w:pPr>
        <w:spacing w:after="100"/>
      </w:pPr>
      <w:r>
        <w:t>v0.4 — Phase 4B canonical ingestion, immutable snapshots, domain gating, API snapshot resources, Excel-vs-DB parity, and updated database/rule governance.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Requirements Document v0.4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2026-08-24T00:00:00Z</dcterms:modified>
  <cp:category/>
</cp:coreProperties>
</file>