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E74B5"/>
          <w:sz w:val="20"/>
        </w:rPr>
        <w:t>INTERNAL PRODUCTION MVP</w:t>
      </w:r>
    </w:p>
    <w:p>
      <w:pPr>
        <w:spacing w:after="80"/>
      </w:pPr>
      <w:r>
        <w:rPr>
          <w:rFonts w:ascii="Calibri" w:hAnsi="Calibri"/>
          <w:b/>
          <w:color w:val="0B2545"/>
          <w:sz w:val="48"/>
        </w:rPr>
        <w:t>Product Requirements Document v0.5</w:t>
      </w:r>
    </w:p>
    <w:p>
      <w:pPr>
        <w:spacing w:after="320"/>
      </w:pPr>
      <w:r>
        <w:rPr>
          <w:rFonts w:ascii="Calibri" w:hAnsi="Calibri"/>
          <w:color w:val="5B6573"/>
          <w:sz w:val="28"/>
        </w:rPr>
        <w:t>ControlCheck Core - secure single-organization pilot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Status: </w:t>
      </w:r>
      <w:r>
        <w:rPr>
          <w:rFonts w:ascii="Calibri" w:hAnsi="Calibri"/>
          <w:color w:val="20242A"/>
          <w:sz w:val="21"/>
        </w:rPr>
        <w:t>Approved implementation baseline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Release: </w:t>
      </w:r>
      <w:r>
        <w:rPr>
          <w:rFonts w:ascii="Calibri" w:hAnsi="Calibri"/>
          <w:color w:val="20242A"/>
          <w:sz w:val="21"/>
        </w:rPr>
        <w:t>Internal API-only production MVP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Date: </w:t>
      </w:r>
      <w:r>
        <w:rPr>
          <w:rFonts w:ascii="Calibri" w:hAnsi="Calibri"/>
          <w:color w:val="20242A"/>
          <w:sz w:val="21"/>
        </w:rPr>
        <w:t>24 August 2026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Executable authority: </w:t>
      </w:r>
      <w:r>
        <w:rPr>
          <w:rFonts w:ascii="Calibri" w:hAnsi="Calibri"/>
          <w:color w:val="20242A"/>
          <w:sz w:val="21"/>
        </w:rPr>
        <w:t>Application code, runtime JSON catalogues, and Alembic migrations</w:t>
      </w:r>
    </w:p>
    <w:p>
      <w:pPr>
        <w:spacing w:before="240" w:after="240"/>
        <w:ind w:left="115" w:right="115"/>
        <w:shd w:fill="E8EEF5"/>
        <w:pBdr>
          <w:top w:val="single" w:sz="4" w:space="8" w:color="B9C8D8"/>
          <w:left w:val="single" w:sz="4" w:space="8" w:color="B9C8D8"/>
          <w:bottom w:val="single" w:sz="4" w:space="8" w:color="B9C8D8"/>
          <w:right w:val="single" w:sz="4" w:space="8" w:color="B9C8D8"/>
        </w:pBdr>
      </w:pPr>
      <w:r>
        <w:rPr>
          <w:rFonts w:ascii="Calibri" w:hAnsi="Calibri"/>
          <w:b/>
          <w:color w:val="0B2545"/>
          <w:sz w:val="21"/>
        </w:rPr>
        <w:t>Decision: ship one secure internal API replica with bearer-key authentication, a server-fixed tenant, managed PostgreSQL, and persistent workbook storage.</w:t>
      </w:r>
    </w:p>
    <w:p>
      <w:pPr>
        <w:pStyle w:val="Heading1"/>
        <w:keepNext/>
      </w:pPr>
      <w:r>
        <w:t>1. Executive summary</w:t>
      </w:r>
    </w:p>
    <w:p>
      <w:r>
        <w:t>ControlCheck Core converts governed EPC project-control workbooks into immutable snapshots, canonical facts, deterministic findings, and traceable evidence. PRD v0.5 promotes the validated Phase 4B backend into a deliberately narrow internal production pilot without changing the 20-rule calculation boundary.</w:t>
      </w:r>
    </w:p>
    <w:p>
      <w:r>
        <w:t>The pilot is secure enough for one controlled organization: all versioned API routes require a bearer API key, tenant identity is fixed server-side, health responses disclose minimal state, and release gates preserve Golden 59 and Boundary zero behavior.</w:t>
      </w:r>
    </w:p>
    <w:p>
      <w:pPr>
        <w:pStyle w:val="Heading1"/>
        <w:keepNext/>
      </w:pPr>
      <w:r>
        <w:t>2. Product objective and success</w:t>
      </w:r>
    </w:p>
    <w:p>
      <w:r>
        <w:t>Enable an internal project-controls team to deploy and operate the deterministic ControlCheck workflow on managed infrastructure, while preserving reproducibility, tenant isolation, evidence lineage, and recoverability.</w:t>
      </w:r>
    </w:p>
    <w:p>
      <w:pPr>
        <w:pStyle w:val="ListBullet"/>
        <w:keepLines/>
      </w:pPr>
      <w:r>
        <w:t>A reviewed image starts predictably from environment-only configuration.</w:t>
      </w:r>
    </w:p>
    <w:p>
      <w:pPr>
        <w:pStyle w:val="ListBullet"/>
        <w:keepLines/>
      </w:pPr>
      <w:r>
        <w:t>Unauthorized callers cannot access any /v1/* operation.</w:t>
      </w:r>
    </w:p>
    <w:p>
      <w:pPr>
        <w:pStyle w:val="ListBullet"/>
        <w:keepLines/>
      </w:pPr>
      <w:r>
        <w:t>The client cannot select or override the production organization.</w:t>
      </w:r>
    </w:p>
    <w:p>
      <w:pPr>
        <w:pStyle w:val="ListBullet"/>
        <w:keepLines/>
      </w:pPr>
      <w:r>
        <w:t>Database, upload storage, and catalogue readiness are observable without leaking internals.</w:t>
      </w:r>
    </w:p>
    <w:p>
      <w:pPr>
        <w:pStyle w:val="ListBullet"/>
        <w:keepLines/>
      </w:pPr>
      <w:r>
        <w:t>Controlled fixtures remain Golden 59 and Boundary zero under strict evaluation.</w:t>
      </w:r>
    </w:p>
    <w:p>
      <w:pPr>
        <w:pStyle w:val="Heading1"/>
        <w:keepNext/>
      </w:pPr>
      <w:r>
        <w:t>3. Release scope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780"/>
        <w:gridCol w:w="378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37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In v0.5</w:t>
            </w:r>
          </w:p>
        </w:tc>
        <w:tc>
          <w:tcPr>
            <w:tcW w:type="dxa" w:w="37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Explicitly deferred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Identity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One bearer API key; one fixed organization UUID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JWT/OIDC, users, roles, complete RBAC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Runtime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One non-root container replica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Horizontal scaling and rolling multi-replica writes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Data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Managed PostgreSQL plus mounted persistent workbook volume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S3-compatible object storage and cross-region replication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Product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API-only deterministic analysis and durable query workflow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Frontend, customer self-service, LLM orchestration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Tenancy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One controlled internal organization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Public multi-tenant SaaS onboarding and billing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Users and operating model</w:t>
      </w:r>
    </w:p>
    <w:p>
      <w:pPr>
        <w:pStyle w:val="Heading2"/>
        <w:keepNext/>
      </w:pPr>
      <w:r>
        <w:t>4.1 Internal analyst</w:t>
      </w:r>
    </w:p>
    <w:p>
      <w:r>
        <w:t>Submits governed workbooks, starts snapshot analysis, reviews findings and evidence, and updates finding status through an approved internal client.</w:t>
      </w:r>
    </w:p>
    <w:p>
      <w:pPr>
        <w:pStyle w:val="Heading2"/>
        <w:keepNext/>
      </w:pPr>
      <w:r>
        <w:t>4.2 Production operator</w:t>
      </w:r>
    </w:p>
    <w:p>
      <w:r>
        <w:t>Controls deployment settings, secrets, migrations, backups, restores, API key rotation, image promotion, rollback, and request-ID-led incident diagnostics.</w:t>
      </w:r>
    </w:p>
    <w:p>
      <w:pPr>
        <w:pStyle w:val="Heading2"/>
        <w:keepNext/>
      </w:pPr>
      <w:r>
        <w:t>4.3 Engineering reviewer</w:t>
      </w:r>
    </w:p>
    <w:p>
      <w:r>
        <w:t>Approves pull requests only after database, tests, deterministic fixtures, document contracts, and container build gates succeed.</w:t>
      </w:r>
    </w:p>
    <w:p>
      <w:pPr>
        <w:pStyle w:val="Heading1"/>
        <w:keepNext/>
      </w:pPr>
      <w:r>
        <w:t>5. Functional requirements</w:t>
      </w:r>
    </w:p>
    <w:p>
      <w:pPr>
        <w:pStyle w:val="Heading2"/>
        <w:keepNext/>
      </w:pPr>
      <w:r>
        <w:t>5.1 Runtime configuration</w:t>
      </w:r>
    </w:p>
    <w:p>
      <w:pPr>
        <w:pStyle w:val="ListBullet"/>
        <w:keepLines/>
      </w:pPr>
      <w:r>
        <w:t>Production mode is selected only by CONTROLCHECK_ENV=production.</w:t>
      </w:r>
    </w:p>
    <w:p>
      <w:pPr>
        <w:pStyle w:val="ListBullet"/>
        <w:keepLines/>
      </w:pPr>
      <w:r>
        <w:t>Startup fails when database URL, absolute upload root, readable catalogue, organization UUID, API key, or exact trusted hosts are invalid or missing.</w:t>
      </w:r>
    </w:p>
    <w:p>
      <w:pPr>
        <w:pStyle w:val="ListBullet"/>
        <w:keepLines/>
      </w:pPr>
      <w:r>
        <w:t>The API key contains at least 32 characters; maximum upload size is a positive byte count.</w:t>
      </w:r>
    </w:p>
    <w:p>
      <w:pPr>
        <w:pStyle w:val="ListBullet"/>
        <w:keepLines/>
      </w:pPr>
      <w:r>
        <w:t>CORS defaults to absent and accepts only explicitly configured exact HTTPS origins.</w:t>
      </w:r>
    </w:p>
    <w:p>
      <w:pPr>
        <w:pStyle w:val="ListBullet"/>
        <w:keepLines/>
      </w:pPr>
      <w:r>
        <w:t>Interactive docs and OpenAPI are disabled by default in production.</w:t>
      </w:r>
    </w:p>
    <w:p>
      <w:pPr>
        <w:pStyle w:val="Heading2"/>
        <w:keepNext/>
      </w:pPr>
      <w:r>
        <w:t>5.2 Authentication and tenant isolation</w:t>
      </w:r>
    </w:p>
    <w:p>
      <w:pPr>
        <w:pStyle w:val="ListBullet"/>
        <w:keepLines/>
      </w:pPr>
      <w:r>
        <w:t>Every /v1/* route requires Authorization: Bearer &lt;key&gt; in production.</w:t>
      </w:r>
    </w:p>
    <w:p>
      <w:pPr>
        <w:pStyle w:val="ListBullet"/>
        <w:keepLines/>
      </w:pPr>
      <w:r>
        <w:t>Missing, malformed, or incorrect credentials return a generic 401 error and WWW-Authenticate: Bearer.</w:t>
      </w:r>
    </w:p>
    <w:p>
      <w:pPr>
        <w:pStyle w:val="ListBullet"/>
        <w:keepLines/>
      </w:pPr>
      <w:r>
        <w:t>Credential comparison is constant-time and credentials never appear in committed files or response bodies.</w:t>
      </w:r>
    </w:p>
    <w:p>
      <w:pPr>
        <w:pStyle w:val="ListBullet"/>
        <w:keepLines/>
      </w:pPr>
      <w:r>
        <w:t>Production tenant identity comes only from CONTROLCHECK_ORGANIZATION_ID; X-Organization-ID is ignored.</w:t>
      </w:r>
    </w:p>
    <w:p>
      <w:pPr>
        <w:pStyle w:val="ListBullet"/>
        <w:keepLines/>
      </w:pPr>
      <w:r>
        <w:t>Development retains the tenant header solely as a controlled non-production contract.</w:t>
      </w:r>
    </w:p>
    <w:p>
      <w:pPr>
        <w:pStyle w:val="Heading2"/>
        <w:keepNext/>
      </w:pPr>
      <w:r>
        <w:t>5.3 Deterministic workflow</w:t>
      </w:r>
    </w:p>
    <w:p>
      <w:pPr>
        <w:pStyle w:val="ListBullet"/>
        <w:keepLines/>
      </w:pPr>
      <w:r>
        <w:t>Preserve the Phase 4B governed-template, immutable-snapshot, raw-lineage, canonical-fact, domain-gating, and durable-evidence contracts.</w:t>
      </w:r>
    </w:p>
    <w:p>
      <w:pPr>
        <w:pStyle w:val="ListBullet"/>
        <w:keepLines/>
      </w:pPr>
      <w:r>
        <w:t>Keep calculations, thresholds, severities, finding metrics, and evidence deterministic and independent from any LLM.</w:t>
      </w:r>
    </w:p>
    <w:p>
      <w:pPr>
        <w:pStyle w:val="ListBullet"/>
        <w:keepLines/>
      </w:pPr>
      <w:r>
        <w:t>Retain the compatibility workbook audit endpoint during the internal pilot.</w:t>
      </w:r>
    </w:p>
    <w:p>
      <w:pPr>
        <w:pStyle w:val="ListBullet"/>
        <w:keepLines/>
      </w:pPr>
      <w:r>
        <w:t>Enforce organization scope on project, snapshot, run, finding, evidence, and status operations.</w:t>
      </w:r>
    </w:p>
    <w:p>
      <w:pPr>
        <w:pStyle w:val="Heading2"/>
        <w:keepNext/>
      </w:pPr>
      <w:r>
        <w:t>5.4 Health and safe HTTP behavior</w:t>
      </w:r>
    </w:p>
    <w:p>
      <w:pPr>
        <w:pStyle w:val="ListBullet"/>
        <w:keepLines/>
      </w:pPr>
      <w:r>
        <w:t>GET /health/live returns only status=live when the process can answer HTTP.</w:t>
      </w:r>
    </w:p>
    <w:p>
      <w:pPr>
        <w:pStyle w:val="ListBullet"/>
        <w:keepLines/>
      </w:pPr>
      <w:r>
        <w:t>GET /health/ready checks database, persistent storage, and catalogue, returning only ready or not_ready.</w:t>
      </w:r>
    </w:p>
    <w:p>
      <w:pPr>
        <w:pStyle w:val="ListBullet"/>
        <w:keepLines/>
      </w:pPr>
      <w:r>
        <w:t>The legacy /health response remains during the pilot for compatibility.</w:t>
      </w:r>
    </w:p>
    <w:p>
      <w:pPr>
        <w:pStyle w:val="ListBullet"/>
        <w:keepLines/>
      </w:pPr>
      <w:r>
        <w:t>Production accepts only configured hostnames and validates or replaces caller-supplied request IDs.</w:t>
      </w:r>
    </w:p>
    <w:p>
      <w:pPr>
        <w:pStyle w:val="ListBullet"/>
        <w:keepLines/>
      </w:pPr>
      <w:r>
        <w:t>Unhandled errors return a generic envelope with a safe request ID and no traceback or dependency detail.</w:t>
      </w:r>
    </w:p>
    <w:p>
      <w:pPr>
        <w:pStyle w:val="Heading1"/>
        <w:keepNext/>
      </w:pPr>
      <w:r>
        <w:t>6. API surface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4160"/>
        <w:gridCol w:w="2700"/>
      </w:tblGrid>
      <w:tr>
        <w:trPr>
          <w:tblHeader w:val="true"/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Surface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Purpose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Production access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/health/live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Process liveness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Public; minimal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/health/ready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Database, storage, and catalogue readiness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Public; minimal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/health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Pilot compatibility health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Public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/v1/audits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Stateless governed workbook audit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Bearer key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/v1/organizations/.../projects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Organization-scoped project lifecycle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Bearer key + fixed tenant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/v1/projects/.../dataset-snapshots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Snapshot ingestion and retrieval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Bearer key + fixed tenant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/v1/.../analysis-runs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Deterministic analysis and history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Bearer key + fixed tenant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/v1/findings/...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Finding, evidence, filters, and status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Bearer key + fixed tenant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Deployment and release requirements</w:t>
      </w:r>
    </w:p>
    <w:p>
      <w:pPr>
        <w:pStyle w:val="ListNumber"/>
        <w:keepLines/>
      </w:pPr>
      <w:r>
        <w:t>Build from Python 3.11.9 slim-bookworm and run the application as UID/GID 10001.</w:t>
      </w:r>
    </w:p>
    <w:p>
      <w:pPr>
        <w:pStyle w:val="ListNumber"/>
        <w:keepLines/>
      </w:pPr>
      <w:r>
        <w:t>Apply the single linear Alembic head before Uvicorn starts; production database URL comes from environment configuration.</w:t>
      </w:r>
    </w:p>
    <w:p>
      <w:pPr>
        <w:pStyle w:val="ListNumber"/>
        <w:keepLines/>
      </w:pPr>
      <w:r>
        <w:t>Mount one persistent upload volume at the configured absolute path and operate exactly one replica.</w:t>
      </w:r>
    </w:p>
    <w:p>
      <w:pPr>
        <w:pStyle w:val="ListNumber"/>
        <w:keepLines/>
      </w:pPr>
      <w:r>
        <w:t>Use managed PostgreSQL 16 with TLS, automated backup, restore testing, and credentials held outside Git.</w:t>
      </w:r>
    </w:p>
    <w:p>
      <w:pPr>
        <w:pStyle w:val="ListNumber"/>
        <w:keepLines/>
      </w:pPr>
      <w:r>
        <w:t>Require CI compilation, migrations, Alembic drift check, full pytest, Golden strict, Boundary strict, and Docker build.</w:t>
      </w:r>
    </w:p>
    <w:p>
      <w:pPr>
        <w:pStyle w:val="ListNumber"/>
        <w:keepLines/>
      </w:pPr>
      <w:r>
        <w:t>Promote an immutable reviewed image digest from staging to production.</w:t>
      </w:r>
    </w:p>
    <w:p>
      <w:pPr>
        <w:pStyle w:val="Heading1"/>
        <w:keepNext/>
      </w:pPr>
      <w:r>
        <w:t>8. Security and non-functional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Requirement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Acceptance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Confidentiality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No real API keys, database credentials, organization IDs, or private keys in Git, images, logs, or responses.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Isolation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All durable repository access remains organization-scoped; client headers cannot change the production tenant.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Availability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Live and ready probes distinguish process health from dependency readiness; failed readiness returns 503.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Recoverability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Database and workbook-volume backups are restored together and verified through persisted evidence retrieval.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Traceability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Every response carries a safe request ID; deterministic findings retain calculation and source evidence.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Performance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Upload size is bounded at 25 MiB by default; the pilot uses one replica and controlled internal load.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Maintainability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Configuration is validated once, migrations remain linear, and each behavior change includes a regression test.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Acceptance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4100"/>
        <w:gridCol w:w="33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Gate</w:t>
            </w:r>
          </w:p>
        </w:tc>
        <w:tc>
          <w:tcPr>
            <w:tcW w:type="dxa" w:w="4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Required result</w:t>
            </w:r>
          </w:p>
        </w:tc>
        <w:tc>
          <w:tcPr>
            <w:tcW w:type="dxa" w:w="33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Evidence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Configuration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Invalid production settings fail startup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Production settings tests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Authentication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All /v1/* routes reject missing/wrong key with 401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Route enumeration and HTTP tests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Tenant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Client tenant header cannot override configured UUID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Fixed-tenant contract test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HTTP safety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Docs off, host restricted, CORS opt-in, generic 500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Production security tests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Health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Live 200; ready 200 or minimal 503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Dependency readiness tests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Container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Build succeeds; runtime UID 10001; no reload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Image build and inspection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Database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Exactly one head; upgrade and drift check succeed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Alembic CI gate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Engine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Golden 59 with zero FP/FN; Boundary zero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Strict fixture evaluations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Operations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Rotation, restore verification, rollback, and incidents documented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Production runbook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Risks and controls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4260"/>
        <w:gridCol w:w="2400"/>
      </w:tblGrid>
      <w:tr>
        <w:trPr>
          <w:tblHeader w:val="true"/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Risk</w:t>
            </w:r>
          </w:p>
        </w:tc>
        <w:tc>
          <w:tcPr>
            <w:tcW w:type="dxa" w:w="4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Control</w:t>
            </w:r>
          </w:p>
        </w:tc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Residual decision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Shared bearer key has no user attribution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Restricted secret distribution, request IDs, key rotation, internal-only access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Accept for pilot; replace with JWT/RBAC later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Local volume prevents safe horizontal writes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Exactly one replica, persistent mount, paired backup verification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Accept for pilot; move to object storage before scaling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Migration failure blocks startup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CI migration gates, managed backup, reviewed rollback/forward-fix procedure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Fail closed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Controlled fixtures overstate real-world confidence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Label results as synthetic agreement; require customer validation before accuracy claims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No customer accuracy claim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Public readiness can aid reconnaissance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Minimal status only; no dependency names or exceptions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42A"/>
                <w:sz w:val="18"/>
              </w:rPr>
              <w:t>Accept behind HTTPS ingress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Deferred roadmap</w:t>
      </w:r>
    </w:p>
    <w:p>
      <w:pPr>
        <w:pStyle w:val="ListBullet"/>
        <w:keepLines/>
      </w:pPr>
      <w:r>
        <w:t>JWT/OIDC authentication, named users, role model, and complete RBAC.</w:t>
      </w:r>
    </w:p>
    <w:p>
      <w:pPr>
        <w:pStyle w:val="ListBullet"/>
        <w:keepLines/>
      </w:pPr>
      <w:r>
        <w:t>S3-compatible object storage, multi-replica execution, and scalable background jobs.</w:t>
      </w:r>
    </w:p>
    <w:p>
      <w:pPr>
        <w:pStyle w:val="ListBullet"/>
        <w:keepLines/>
      </w:pPr>
      <w:r>
        <w:t>Production frontend, customer onboarding, subscription/billing, and public multi-tenancy.</w:t>
      </w:r>
    </w:p>
    <w:p>
      <w:pPr>
        <w:pStyle w:val="ListBullet"/>
        <w:keepLines/>
      </w:pPr>
      <w:r>
        <w:t>LLM reasoning that summarizes deterministic finding and evidence payloads without altering rule outcomes.</w:t>
      </w:r>
    </w:p>
    <w:p>
      <w:pPr>
        <w:pStyle w:val="ListBullet"/>
        <w:keepLines/>
      </w:pPr>
      <w:r>
        <w:t>Customer-data validation, operational SLOs, and capacity targets based on observed pilot load.</w:t>
      </w:r>
    </w:p>
    <w:p>
      <w:pPr>
        <w:pStyle w:val="Heading1"/>
        <w:keepNext/>
      </w:pPr>
      <w:r>
        <w:t>12. Change log</w:t>
      </w:r>
    </w:p>
    <w:p>
      <w:r>
        <w:t>v0.5 - Defines the internal production MVP security boundary, strict runtime configuration, bearer authentication, fixed tenant, safe HTTP behavior, liveness and readiness, managed PostgreSQL, persistent storage, non-root container, CI release gates, operating runbook, and explicit JWT/RBAC/object-storage/frontend deferrals.</w:t>
      </w:r>
    </w:p>
    <w:p>
      <w:r>
        <w:t>Historical PRDs remain immutable. PRD v0.4 continues to describe canonical ingestion; v0.5 adds the production operating boundary without replacing runtime JSON catalogues or executable Alembic migrations.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PRD v0.5  |  24 August 2026  |  Page </w:t>
    </w:r>
    <w:r>
      <w:rPr>
        <w:rFonts w:ascii="Calibri" w:hAnsi="Calibri"/>
        <w:color w:val="5B65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PRD v0.5  |  24 August 2026  |  Page </w:t>
    </w:r>
    <w:r>
      <w:rPr>
        <w:rFonts w:ascii="Calibri" w:hAnsi="Calibri"/>
        <w:color w:val="5B65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573"/>
        <w:sz w:val="17"/>
      </w:rPr>
      <w:t>CONTROLCHECK AI  |  PRODUCT REQUIREMENTS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573"/>
        <w:sz w:val="17"/>
      </w:rPr>
      <w:t>CONTROLCHECK AI  | 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ControlCheck AI Product Requirements Document v0.5</dc:title>
  <dc:subject>Internal production MVP</dc:subject>
  <dc:creator>ControlCheck AI</dc:creator>
  <cp:keywords>ControlCheck, production, API, project controls</cp:keywords>
  <dc:description>generated by python-docx</dc:description>
  <cp:lastModifiedBy/>
  <cp:revision>1</cp:revision>
  <dcterms:created xsi:type="dcterms:W3CDTF">2026-08-24T00:00:00Z</dcterms:created>
  <dcterms:modified xsi:type="dcterms:W3CDTF">2026-08-24T00:00:00Z</dcterms:modified>
  <cp:category/>
</cp:coreProperties>
</file>