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UI UX Specification</w:t>
      </w:r>
    </w:p>
    <w:p>
      <w:pPr>
        <w:jc w:val="center"/>
      </w:pPr>
      <w:r>
        <w:rPr>
          <w:b/>
          <w:color w:val="17365D"/>
        </w:rPr>
        <w:t>Manpower Mobility Management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UX-MMS-001</w:t>
            </w:r>
          </w:p>
        </w:tc>
      </w:tr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Final — MVP Baseline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for</w:t>
            </w:r>
          </w:p>
        </w:tc>
        <w:tc>
          <w:tcPr>
            <w:tcW w:type="dxa" w:w="4968"/>
          </w:tcPr>
          <w:p>
            <w:r>
              <w:t>Product, Design, Engineering, Operations and Client Stakeholders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</w:rPr>
        <w:t>Table of Contents</w:t>
      </w:r>
      <w:r/>
      <w:fldSimple w:instr="TOC \o &quot;1-3&quot; \h \z \u"/>
    </w:p>
    <w:p>
      <w:r>
        <w:br w:type="page"/>
      </w:r>
    </w:p>
    <w:p>
      <w:pPr>
        <w:pStyle w:val="Heading1"/>
      </w:pPr>
      <w:r>
        <w:t>1 Experience Principles</w:t>
      </w:r>
    </w:p>
    <w:p>
      <w:r>
        <w:t>This document is the approved MVP baseline for a system that manages the complete worker lifecycle from registration and compliance through contractor–client approval, mobilization, on-site presence and demobilization. It uses a single worker profile, assignment history and automation rules so teams can make safe, timely manpower decisions.</w:t>
      </w:r>
    </w:p>
    <w:p>
      <w:r>
        <w:t>The interface should feel operational, clear and trustworthy: show what needs attention first, make blocking conditions explicit, and keep actions close to the record they affect.</w:t>
      </w:r>
    </w:p>
    <w:p>
      <w:pPr>
        <w:pStyle w:val="Heading1"/>
      </w:pPr>
      <w:r>
        <w:t>2 Navigation and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color w:val="FFFFFF"/>
              </w:rPr>
              <w:t>Area</w:t>
            </w:r>
          </w:p>
        </w:tc>
        <w:tc>
          <w:tcPr>
            <w:tcW w:type="dxa" w:w="4968"/>
            <w:shd w:fill="17365D"/>
          </w:tcPr>
          <w:p>
            <w:r>
              <w:rPr>
                <w:color w:val="FFFFFF"/>
              </w:rPr>
              <w:t>Contents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Primary navigation</w:t>
            </w:r>
          </w:p>
        </w:tc>
        <w:tc>
          <w:tcPr>
            <w:tcW w:type="dxa" w:w="4968"/>
            <w:vAlign w:val="center"/>
          </w:tcPr>
          <w:p>
            <w:r>
              <w:t>Dashboard; Workers; Assignments; Documents; Pre-Mobilization; Mobilization; On Site; Demobilization; Reports; Administration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Global utilities</w:t>
            </w:r>
          </w:p>
        </w:tc>
        <w:tc>
          <w:tcPr>
            <w:tcW w:type="dxa" w:w="4968"/>
            <w:vAlign w:val="center"/>
          </w:tcPr>
          <w:p>
            <w:r>
              <w:t>Global search; notifications; help; profile; active project/site context</w:t>
            </w:r>
          </w:p>
        </w:tc>
      </w:tr>
    </w:tbl>
    <w:p>
      <w:pPr>
        <w:pStyle w:val="Heading1"/>
      </w:pPr>
      <w:r>
        <w:t>3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color w:val="FFFFFF"/>
              </w:rPr>
              <w:t>Screen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3312"/>
            <w:shd w:fill="17365D"/>
          </w:tcPr>
          <w:p>
            <w:r>
              <w:rPr>
                <w:color w:val="FFFFFF"/>
              </w:rPr>
              <w:t>Key actions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t>Executive Dashboard</w:t>
            </w:r>
          </w:p>
        </w:tc>
        <w:tc>
          <w:tcPr>
            <w:tcW w:type="dxa" w:w="3312"/>
            <w:vAlign w:val="center"/>
          </w:tcPr>
          <w:p>
            <w:r>
              <w:t>Operational overview</w:t>
            </w:r>
          </w:p>
        </w:tc>
        <w:tc>
          <w:tcPr>
            <w:tcW w:type="dxa" w:w="3312"/>
            <w:vAlign w:val="center"/>
          </w:tcPr>
          <w:p>
            <w:r>
              <w:t>Filter, drill down, export</w:t>
            </w:r>
          </w:p>
        </w:tc>
      </w:tr>
      <w:tr>
        <w:tc>
          <w:tcPr>
            <w:tcW w:type="dxa" w:w="3312"/>
            <w:vAlign w:val="center"/>
          </w:tcPr>
          <w:p>
            <w:r>
              <w:t>Worker List and Profile</w:t>
            </w:r>
          </w:p>
        </w:tc>
        <w:tc>
          <w:tcPr>
            <w:tcW w:type="dxa" w:w="3312"/>
            <w:vAlign w:val="center"/>
          </w:tcPr>
          <w:p>
            <w:r>
              <w:t>Single source of truth</w:t>
            </w:r>
          </w:p>
        </w:tc>
        <w:tc>
          <w:tcPr>
            <w:tcW w:type="dxa" w:w="3312"/>
            <w:vAlign w:val="center"/>
          </w:tcPr>
          <w:p>
            <w:r>
              <w:t>Search, create, edit, history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Bulk Import</w:t>
            </w:r>
          </w:p>
        </w:tc>
        <w:tc>
          <w:tcPr>
            <w:tcW w:type="dxa" w:w="3312"/>
            <w:vAlign w:val="center"/>
          </w:tcPr>
          <w:p>
            <w:r>
              <w:t>Safe high-volume onboarding</w:t>
            </w:r>
          </w:p>
        </w:tc>
        <w:tc>
          <w:tcPr>
            <w:tcW w:type="dxa" w:w="3312"/>
            <w:vAlign w:val="center"/>
          </w:tcPr>
          <w:p>
            <w:r>
              <w:t>Upload, map, validate, preview, import</w:t>
            </w:r>
          </w:p>
        </w:tc>
      </w:tr>
      <w:tr>
        <w:tc>
          <w:tcPr>
            <w:tcW w:type="dxa" w:w="3312"/>
            <w:vAlign w:val="center"/>
          </w:tcPr>
          <w:p>
            <w:r>
              <w:t>Document Center</w:t>
            </w:r>
          </w:p>
        </w:tc>
        <w:tc>
          <w:tcPr>
            <w:tcW w:type="dxa" w:w="3312"/>
            <w:vAlign w:val="center"/>
          </w:tcPr>
          <w:p>
            <w:r>
              <w:t>Compliance file management</w:t>
            </w:r>
          </w:p>
        </w:tc>
        <w:tc>
          <w:tcPr>
            <w:tcW w:type="dxa" w:w="3312"/>
            <w:vAlign w:val="center"/>
          </w:tcPr>
          <w:p>
            <w:r>
              <w:t>Upload, verify, replace, view history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Requirement Rules</w:t>
            </w:r>
          </w:p>
        </w:tc>
        <w:tc>
          <w:tcPr>
            <w:tcW w:type="dxa" w:w="3312"/>
            <w:vAlign w:val="center"/>
          </w:tcPr>
          <w:p>
            <w:r>
              <w:t>No-code dynamic rules</w:t>
            </w:r>
          </w:p>
        </w:tc>
        <w:tc>
          <w:tcPr>
            <w:tcW w:type="dxa" w:w="3312"/>
            <w:vAlign w:val="center"/>
          </w:tcPr>
          <w:p>
            <w:r>
              <w:t>Create, test, activate, version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Pre-Mobilization</w:t>
            </w:r>
          </w:p>
        </w:tc>
        <w:tc>
          <w:tcPr>
            <w:tcW w:type="dxa" w:w="3312"/>
            <w:vAlign w:val="center"/>
          </w:tcPr>
          <w:p>
            <w:r>
              <w:t>Readiness and submission</w:t>
            </w:r>
          </w:p>
        </w:tc>
        <w:tc>
          <w:tcPr>
            <w:tcW w:type="dxa" w:w="3312"/>
            <w:vAlign w:val="center"/>
          </w:tcPr>
          <w:p>
            <w:r>
              <w:t>Review blockers, submit, resubmit</w:t>
            </w:r>
          </w:p>
        </w:tc>
      </w:tr>
      <w:tr>
        <w:tc>
          <w:tcPr>
            <w:tcW w:type="dxa" w:w="3312"/>
            <w:vAlign w:val="center"/>
          </w:tcPr>
          <w:p>
            <w:r>
              <w:t>Approval Workspace</w:t>
            </w:r>
          </w:p>
        </w:tc>
        <w:tc>
          <w:tcPr>
            <w:tcW w:type="dxa" w:w="3312"/>
            <w:vAlign w:val="center"/>
          </w:tcPr>
          <w:p>
            <w:r>
              <w:t>Contractor and client review</w:t>
            </w:r>
          </w:p>
        </w:tc>
        <w:tc>
          <w:tcPr>
            <w:tcW w:type="dxa" w:w="3312"/>
            <w:vAlign w:val="center"/>
          </w:tcPr>
          <w:p>
            <w:r>
              <w:t>Approve, reject, return, comment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Mobilization Board</w:t>
            </w:r>
          </w:p>
        </w:tc>
        <w:tc>
          <w:tcPr>
            <w:tcW w:type="dxa" w:w="3312"/>
            <w:vAlign w:val="center"/>
          </w:tcPr>
          <w:p>
            <w:r>
              <w:t>Travel and movement</w:t>
            </w:r>
          </w:p>
        </w:tc>
        <w:tc>
          <w:tcPr>
            <w:tcW w:type="dxa" w:w="3312"/>
            <w:vAlign w:val="center"/>
          </w:tcPr>
          <w:p>
            <w:r>
              <w:t>Schedule, confirm travel, arrival</w:t>
            </w:r>
          </w:p>
        </w:tc>
      </w:tr>
      <w:tr>
        <w:tc>
          <w:tcPr>
            <w:tcW w:type="dxa" w:w="3312"/>
            <w:vAlign w:val="center"/>
          </w:tcPr>
          <w:p>
            <w:r>
              <w:t>On-Site Board</w:t>
            </w:r>
          </w:p>
        </w:tc>
        <w:tc>
          <w:tcPr>
            <w:tcW w:type="dxa" w:w="3312"/>
            <w:vAlign w:val="center"/>
          </w:tcPr>
          <w:p>
            <w:r>
              <w:t>Current manpower</w:t>
            </w:r>
          </w:p>
        </w:tc>
        <w:tc>
          <w:tcPr>
            <w:tcW w:type="dxa" w:w="3312"/>
            <w:vAlign w:val="center"/>
          </w:tcPr>
          <w:p>
            <w:r>
              <w:t>Filter, confirm departure</w:t>
            </w:r>
          </w:p>
        </w:tc>
      </w:tr>
      <w:tr>
        <w:tc>
          <w:tcPr>
            <w:tcW w:type="dxa" w:w="3312"/>
            <w:vAlign w:val="center"/>
          </w:tcPr>
          <w:p>
            <w:r>
              <w:t>Demobilization</w:t>
            </w:r>
          </w:p>
        </w:tc>
        <w:tc>
          <w:tcPr>
            <w:tcW w:type="dxa" w:w="3312"/>
            <w:vAlign w:val="center"/>
          </w:tcPr>
          <w:p>
            <w:r>
              <w:t>Clearance and closure</w:t>
            </w:r>
          </w:p>
        </w:tc>
        <w:tc>
          <w:tcPr>
            <w:tcW w:type="dxa" w:w="3312"/>
            <w:vAlign w:val="center"/>
          </w:tcPr>
          <w:p>
            <w:r>
              <w:t>Request, clear, approve, close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Reports</w:t>
            </w:r>
          </w:p>
        </w:tc>
        <w:tc>
          <w:tcPr>
            <w:tcW w:type="dxa" w:w="3312"/>
            <w:vAlign w:val="center"/>
          </w:tcPr>
          <w:p>
            <w:r>
              <w:t>Operational and management outputs</w:t>
            </w:r>
          </w:p>
        </w:tc>
        <w:tc>
          <w:tcPr>
            <w:tcW w:type="dxa" w:w="3312"/>
            <w:vAlign w:val="center"/>
          </w:tcPr>
          <w:p>
            <w:r>
              <w:t>Filter, save, export</w:t>
            </w:r>
          </w:p>
        </w:tc>
      </w:tr>
    </w:tbl>
    <w:p>
      <w:pPr>
        <w:pStyle w:val="Heading1"/>
      </w:pPr>
      <w:r>
        <w:t>4 Key Interaction Specifications</w:t>
      </w:r>
    </w:p>
    <w:p>
      <w:pPr>
        <w:pStyle w:val="Heading2"/>
      </w:pPr>
      <w:r>
        <w:t>Worker Profile</w:t>
      </w:r>
    </w:p>
    <w:p>
      <w:pPr>
        <w:pStyle w:val="ListBullet"/>
      </w:pPr>
      <w:r>
        <w:t>Header shows worker identity, status, readiness and active assignment.</w:t>
      </w:r>
    </w:p>
    <w:p>
      <w:pPr>
        <w:pStyle w:val="ListBullet"/>
      </w:pPr>
      <w:r>
        <w:t>Tabs: Overview, Assignments, Documents, Approvals, Movement Timeline, Audit.</w:t>
      </w:r>
    </w:p>
    <w:p>
      <w:pPr>
        <w:pStyle w:val="ListBullet"/>
      </w:pPr>
      <w:r>
        <w:t>Use status chips: Ready, Blocked, Expiring Soon, On Site, Demobilized.</w:t>
      </w:r>
    </w:p>
    <w:p>
      <w:pPr>
        <w:pStyle w:val="Heading2"/>
      </w:pPr>
      <w:r>
        <w:t>Readiness View</w:t>
      </w:r>
    </w:p>
    <w:p>
      <w:pPr>
        <w:pStyle w:val="ListBullet"/>
      </w:pPr>
      <w:r>
        <w:t>Show score plus a clear final state; never let a high score hide a blocking issue.</w:t>
      </w:r>
    </w:p>
    <w:p>
      <w:pPr>
        <w:pStyle w:val="ListBullet"/>
      </w:pPr>
      <w:r>
        <w:t>Group checklist by requirement category and show document status, expiry and reviewer remarks.</w:t>
      </w:r>
    </w:p>
    <w:p>
      <w:pPr>
        <w:pStyle w:val="ListBullet"/>
      </w:pPr>
      <w:r>
        <w:t>Primary actions: resolve issue, submit for review, return to worker, view history.</w:t>
      </w:r>
    </w:p>
    <w:p>
      <w:pPr>
        <w:pStyle w:val="Heading2"/>
      </w:pPr>
      <w:r>
        <w:t>Approval Workspace</w:t>
      </w:r>
    </w:p>
    <w:p>
      <w:pPr>
        <w:pStyle w:val="ListBullet"/>
      </w:pPr>
      <w:r>
        <w:t>Show workflow step, current owner, SLA/age, comments and immutable timeline.</w:t>
      </w:r>
    </w:p>
    <w:p>
      <w:pPr>
        <w:pStyle w:val="ListBullet"/>
      </w:pPr>
      <w:r>
        <w:t>Require comments for reject and return actions.</w:t>
      </w:r>
    </w:p>
    <w:p>
      <w:pPr>
        <w:pStyle w:val="Heading2"/>
      </w:pPr>
      <w:r>
        <w:t>Bulk Import</w:t>
      </w:r>
    </w:p>
    <w:p>
      <w:pPr>
        <w:pStyle w:val="ListBullet"/>
      </w:pPr>
      <w:r>
        <w:t>Progressive flow: upload → map → validate → duplicate review → preview → import.</w:t>
      </w:r>
    </w:p>
    <w:p>
      <w:pPr>
        <w:pStyle w:val="ListBullet"/>
      </w:pPr>
      <w:r>
        <w:t>Counts must show valid, warning, duplicate and error records before commit.</w:t>
      </w:r>
    </w:p>
    <w:p>
      <w:pPr>
        <w:pStyle w:val="Heading1"/>
      </w:pPr>
      <w:r>
        <w:t>5 Visual and Content Standards</w:t>
      </w:r>
    </w:p>
    <w:p>
      <w:pPr>
        <w:pStyle w:val="ListBullet"/>
      </w:pPr>
      <w:r>
        <w:t>Use high-contrast black headings, restrained blue accent, white space and light-gray table borders.</w:t>
      </w:r>
    </w:p>
    <w:p>
      <w:pPr>
        <w:pStyle w:val="ListBullet"/>
      </w:pPr>
      <w:r>
        <w:t>Use plain status language: Blocking, Missing, Expired, Pending Review, Ready to Mobilize.</w:t>
      </w:r>
    </w:p>
    <w:p>
      <w:pPr>
        <w:pStyle w:val="ListBullet"/>
      </w:pPr>
      <w:r>
        <w:t>Destructive actions require confirmation; irreversible merge is not available.</w:t>
      </w:r>
    </w:p>
    <w:p>
      <w:pPr>
        <w:pStyle w:val="ListBullet"/>
      </w:pPr>
      <w:r>
        <w:t>All forms show required fields, validation near the field and a summary before submission.</w:t>
      </w:r>
    </w:p>
    <w:p>
      <w:pPr>
        <w:pStyle w:val="ListBullet"/>
      </w:pPr>
      <w:r>
        <w:t>Responsive layouts support desktop operations first and tablet review workflows.</w:t>
      </w:r>
    </w:p>
    <w:p>
      <w:pPr>
        <w:pStyle w:val="Heading1"/>
      </w:pPr>
      <w:r>
        <w:t>6 Accessibility and Usability</w:t>
      </w:r>
    </w:p>
    <w:p>
      <w:pPr>
        <w:pStyle w:val="ListBullet"/>
      </w:pPr>
      <w:r>
        <w:t>Keyboard-accessible controls, visible focus, semantic labels and readable contrast.</w:t>
      </w:r>
    </w:p>
    <w:p>
      <w:pPr>
        <w:pStyle w:val="ListBullet"/>
      </w:pPr>
      <w:r>
        <w:t>Do not rely on color alone for status; pair color with text and icons.</w:t>
      </w:r>
    </w:p>
    <w:p>
      <w:pPr>
        <w:pStyle w:val="ListBullet"/>
      </w:pPr>
      <w:r>
        <w:t>Tables support sorting, filtering, pagination and export.</w:t>
      </w:r>
    </w:p>
    <w:p>
      <w:pPr>
        <w:pStyle w:val="ListBullet"/>
      </w:pPr>
      <w:r>
        <w:t>Empty, loading, error and permission-denied states are designed for every major screen.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• Version 1.0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7365D"/>
      </w:rPr>
      <w:t>MANPOWER MOBILITY MANAGEMENT SYSTEM  |  UX-MMS-001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