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Entity Relationship Diagram Specification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ERD-MMS-001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1 Data Model Purpose</w:t>
      </w:r>
    </w:p>
    <w:p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r>
        <w:t>The model separates the stable worker identity from time-bound assignments and movement records. Requirements are generated from configurable rules, while documents remain versioned and auditable.</w:t>
      </w:r>
    </w:p>
    <w:p>
      <w:pPr>
        <w:pStyle w:val="Heading1"/>
      </w:pPr>
      <w:r>
        <w:t>2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color w:val="FFFFFF"/>
              </w:rPr>
              <w:t>Entity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Key relationships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users, roles, permissions, user_roles</w:t>
            </w:r>
          </w:p>
        </w:tc>
        <w:tc>
          <w:tcPr>
            <w:tcW w:type="dxa" w:w="3312"/>
            <w:vAlign w:val="center"/>
          </w:tcPr>
          <w:p>
            <w:r>
              <w:t>Access control</w:t>
            </w:r>
          </w:p>
        </w:tc>
        <w:tc>
          <w:tcPr>
            <w:tcW w:type="dxa" w:w="3312"/>
            <w:vAlign w:val="center"/>
          </w:tcPr>
          <w:p>
            <w:r>
              <w:t>Users perform actions and own audit records</w:t>
            </w:r>
          </w:p>
        </w:tc>
      </w:tr>
      <w:tr>
        <w:tc>
          <w:tcPr>
            <w:tcW w:type="dxa" w:w="3312"/>
            <w:vAlign w:val="center"/>
          </w:tcPr>
          <w:p>
            <w:r>
              <w:t>companies</w:t>
            </w:r>
          </w:p>
        </w:tc>
        <w:tc>
          <w:tcPr>
            <w:tcW w:type="dxa" w:w="3312"/>
            <w:vAlign w:val="center"/>
          </w:tcPr>
          <w:p>
            <w:r>
              <w:t>Client, contractor, subcontractor and vendor hierarchy</w:t>
            </w:r>
          </w:p>
        </w:tc>
        <w:tc>
          <w:tcPr>
            <w:tcW w:type="dxa" w:w="3312"/>
            <w:vAlign w:val="center"/>
          </w:tcPr>
          <w:p>
            <w:r>
              <w:t>Own users, workers and assignments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projects, sites</w:t>
            </w:r>
          </w:p>
        </w:tc>
        <w:tc>
          <w:tcPr>
            <w:tcW w:type="dxa" w:w="3312"/>
            <w:vAlign w:val="center"/>
          </w:tcPr>
          <w:p>
            <w:r>
              <w:t>Operational context</w:t>
            </w:r>
          </w:p>
        </w:tc>
        <w:tc>
          <w:tcPr>
            <w:tcW w:type="dxa" w:w="3312"/>
            <w:vAlign w:val="center"/>
          </w:tcPr>
          <w:p>
            <w:r>
              <w:t>Project has many sites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workers</w:t>
            </w:r>
          </w:p>
        </w:tc>
        <w:tc>
          <w:tcPr>
            <w:tcW w:type="dxa" w:w="3312"/>
            <w:vAlign w:val="center"/>
          </w:tcPr>
          <w:p>
            <w:r>
              <w:t>Canonical worker profile</w:t>
            </w:r>
          </w:p>
        </w:tc>
        <w:tc>
          <w:tcPr>
            <w:tcW w:type="dxa" w:w="3312"/>
            <w:vAlign w:val="center"/>
          </w:tcPr>
          <w:p>
            <w:r>
              <w:t>Has assignments, documents and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worker_assignments</w:t>
            </w:r>
          </w:p>
        </w:tc>
        <w:tc>
          <w:tcPr>
            <w:tcW w:type="dxa" w:w="3312"/>
            <w:vAlign w:val="center"/>
          </w:tcPr>
          <w:p>
            <w:r>
              <w:t>Worker-to-project/site relationship</w:t>
            </w:r>
          </w:p>
        </w:tc>
        <w:tc>
          <w:tcPr>
            <w:tcW w:type="dxa" w:w="3312"/>
            <w:vAlign w:val="center"/>
          </w:tcPr>
          <w:p>
            <w:r>
              <w:t>Drives requirements and lifecycle</w:t>
            </w:r>
          </w:p>
        </w:tc>
      </w:tr>
      <w:tr>
        <w:tc>
          <w:tcPr>
            <w:tcW w:type="dxa" w:w="3312"/>
            <w:vAlign w:val="center"/>
          </w:tcPr>
          <w:p>
            <w:r>
              <w:t>document_types, document_requirements</w:t>
            </w:r>
          </w:p>
        </w:tc>
        <w:tc>
          <w:tcPr>
            <w:tcW w:type="dxa" w:w="3312"/>
            <w:vAlign w:val="center"/>
          </w:tcPr>
          <w:p>
            <w:r>
              <w:t>Configurable compliance catalog</w:t>
            </w:r>
          </w:p>
        </w:tc>
        <w:tc>
          <w:tcPr>
            <w:tcW w:type="dxa" w:w="3312"/>
            <w:vAlign w:val="center"/>
          </w:tcPr>
          <w:p>
            <w:r>
              <w:t>Rules target assignment context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worker_documents, document_versions</w:t>
            </w:r>
          </w:p>
        </w:tc>
        <w:tc>
          <w:tcPr>
            <w:tcW w:type="dxa" w:w="3312"/>
            <w:vAlign w:val="center"/>
          </w:tcPr>
          <w:p>
            <w:r>
              <w:t>Secure personnel files</w:t>
            </w:r>
          </w:p>
        </w:tc>
        <w:tc>
          <w:tcPr>
            <w:tcW w:type="dxa" w:w="3312"/>
            <w:vAlign w:val="center"/>
          </w:tcPr>
          <w:p>
            <w:r>
              <w:t>Documents satisfy requirements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pre_mobilizations, checklist_items, readiness_evaluations</w:t>
            </w:r>
          </w:p>
        </w:tc>
        <w:tc>
          <w:tcPr>
            <w:tcW w:type="dxa" w:w="3312"/>
            <w:vAlign w:val="center"/>
          </w:tcPr>
          <w:p>
            <w:r>
              <w:t>Readiness process</w:t>
            </w:r>
          </w:p>
        </w:tc>
        <w:tc>
          <w:tcPr>
            <w:tcW w:type="dxa" w:w="3312"/>
            <w:vAlign w:val="center"/>
          </w:tcPr>
          <w:p>
            <w:r>
              <w:t>One request per assignment/event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approval_workflows, approval_steps, approval_instances, approval_actions</w:t>
            </w:r>
          </w:p>
        </w:tc>
        <w:tc>
          <w:tcPr>
            <w:tcW w:type="dxa" w:w="3312"/>
            <w:vAlign w:val="center"/>
          </w:tcPr>
          <w:p>
            <w:r>
              <w:t>Configurable approval</w:t>
            </w:r>
          </w:p>
        </w:tc>
        <w:tc>
          <w:tcPr>
            <w:tcW w:type="dxa" w:w="3312"/>
            <w:vAlign w:val="center"/>
          </w:tcPr>
          <w:p>
            <w:r>
              <w:t>Actions form immutable trail</w:t>
            </w:r>
          </w:p>
        </w:tc>
      </w:tr>
      <w:tr>
        <w:tc>
          <w:tcPr>
            <w:tcW w:type="dxa" w:w="3312"/>
            <w:vAlign w:val="center"/>
          </w:tcPr>
          <w:p>
            <w:r>
              <w:t>mobilizations, demobilizations, clearance_items</w:t>
            </w:r>
          </w:p>
        </w:tc>
        <w:tc>
          <w:tcPr>
            <w:tcW w:type="dxa" w:w="3312"/>
            <w:vAlign w:val="center"/>
          </w:tcPr>
          <w:p>
            <w:r>
              <w:t>Movement lifecycle</w:t>
            </w:r>
          </w:p>
        </w:tc>
        <w:tc>
          <w:tcPr>
            <w:tcW w:type="dxa" w:w="3312"/>
            <w:vAlign w:val="center"/>
          </w:tcPr>
          <w:p>
            <w:r>
              <w:t>Links to assignment and site</w:t>
            </w:r>
          </w:p>
        </w:tc>
      </w:tr>
      <w:tr>
        <w:tc>
          <w:tcPr>
            <w:tcW w:type="dxa" w:w="3312"/>
            <w:vAlign w:val="center"/>
          </w:tcPr>
          <w:p>
            <w:r>
              <w:t>notifications, audit_logs</w:t>
            </w:r>
          </w:p>
        </w:tc>
        <w:tc>
          <w:tcPr>
            <w:tcW w:type="dxa" w:w="3312"/>
            <w:vAlign w:val="center"/>
          </w:tcPr>
          <w:p>
            <w:r>
              <w:t>Communication and traceability</w:t>
            </w:r>
          </w:p>
        </w:tc>
        <w:tc>
          <w:tcPr>
            <w:tcW w:type="dxa" w:w="3312"/>
            <w:vAlign w:val="center"/>
          </w:tcPr>
          <w:p>
            <w:r>
              <w:t>Reference users and entities</w:t>
            </w:r>
          </w:p>
        </w:tc>
      </w:tr>
    </w:tbl>
    <w:p>
      <w:pPr>
        <w:pStyle w:val="Heading1"/>
      </w:pPr>
      <w:r>
        <w:t>3 Relationship Rules</w:t>
      </w:r>
    </w:p>
    <w:p>
      <w:pPr>
        <w:pStyle w:val="ListBullet"/>
      </w:pPr>
      <w:r>
        <w:t>A worker may have many assignments; an assignment belongs to one project and site at a point in time.</w:t>
      </w:r>
    </w:p>
    <w:p>
      <w:pPr>
        <w:pStyle w:val="ListBullet"/>
      </w:pPr>
      <w:r>
        <w:t>A requirement rule may apply by project, site, company, company type, position, discipline, trade, site type or mobilization type.</w:t>
      </w:r>
    </w:p>
    <w:p>
      <w:pPr>
        <w:pStyle w:val="ListBullet"/>
      </w:pPr>
      <w:r>
        <w:t>A worker document may have many versions; only one current version is active for a document type/context.</w:t>
      </w:r>
    </w:p>
    <w:p>
      <w:pPr>
        <w:pStyle w:val="ListBullet"/>
      </w:pPr>
      <w:r>
        <w:t>A readiness evaluation is reproducible from checklist items and rule versions.</w:t>
      </w:r>
    </w:p>
    <w:p>
      <w:pPr>
        <w:pStyle w:val="ListBullet"/>
      </w:pPr>
      <w:r>
        <w:t>Approval actions are append-only; records are never hard-deleted.</w:t>
      </w:r>
    </w:p>
    <w:p>
      <w:pPr>
        <w:pStyle w:val="ListBullet"/>
      </w:pPr>
      <w:r>
        <w:t>Demobilization closes the active assignment state but preserves the complete timeline.</w:t>
      </w:r>
    </w:p>
    <w:p>
      <w:pPr>
        <w:pStyle w:val="Heading1"/>
      </w:pPr>
      <w:r>
        <w:t>4 Recommended Key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Entity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Minimum fields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workers</w:t>
            </w:r>
          </w:p>
        </w:tc>
        <w:tc>
          <w:tcPr>
            <w:tcW w:type="dxa" w:w="4968"/>
            <w:vAlign w:val="center"/>
          </w:tcPr>
          <w:p>
            <w:r>
              <w:t>id, employee_no, full_name, NIK, passport_no, DOB, gender, nationality, contact, status, readiness_score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worker_assignments</w:t>
            </w:r>
          </w:p>
        </w:tc>
        <w:tc>
          <w:tcPr>
            <w:tcW w:type="dxa" w:w="4968"/>
            <w:vAlign w:val="center"/>
          </w:tcPr>
          <w:p>
            <w:r>
              <w:t>id, worker_id, project_id, site_id, company_id, position, discipline, trade, rotation, planned dates,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worker_documents</w:t>
            </w:r>
          </w:p>
        </w:tc>
        <w:tc>
          <w:tcPr>
            <w:tcW w:type="dxa" w:w="4968"/>
            <w:vAlign w:val="center"/>
          </w:tcPr>
          <w:p>
            <w:r>
              <w:t>id, worker_id, document_type_id, number, issue_date, expiry_date, verification_status, current_version_id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document_requirements</w:t>
            </w:r>
          </w:p>
        </w:tc>
        <w:tc>
          <w:tcPr>
            <w:tcW w:type="dxa" w:w="4968"/>
            <w:vAlign w:val="center"/>
          </w:tcPr>
          <w:p>
            <w:r>
              <w:t>id, rule scope, document_type_id, mandatory, blocking, warning_days, active_version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pre_mobilizations</w:t>
            </w:r>
          </w:p>
        </w:tc>
        <w:tc>
          <w:tcPr>
            <w:tcW w:type="dxa" w:w="4968"/>
            <w:vAlign w:val="center"/>
          </w:tcPr>
          <w:p>
            <w:r>
              <w:t>id, request_no, assignment_id, planned_date, readiness_score, blocking_issues,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audit_logs</w:t>
            </w:r>
          </w:p>
        </w:tc>
        <w:tc>
          <w:tcPr>
            <w:tcW w:type="dxa" w:w="4968"/>
            <w:vAlign w:val="center"/>
          </w:tcPr>
          <w:p>
            <w:r>
              <w:t>id, actor_user_id, action, entity, entity_id, previous_value, new_value, timestamp</w:t>
            </w:r>
          </w:p>
        </w:tc>
      </w:tr>
    </w:tbl>
    <w:p>
      <w:pPr>
        <w:pStyle w:val="Heading1"/>
      </w:pPr>
      <w:r>
        <w:t>5 Integrity and Security</w:t>
      </w:r>
    </w:p>
    <w:p>
      <w:pPr>
        <w:pStyle w:val="ListBullet"/>
      </w:pPr>
      <w:r>
        <w:t>Use UUID primary keys and indexed foreign keys.</w:t>
      </w:r>
    </w:p>
    <w:p>
      <w:pPr>
        <w:pStyle w:val="ListBullet"/>
      </w:pPr>
      <w:r>
        <w:t>Enforce unique constraints for NIK and passport where present, with a review path for possible duplicates.</w:t>
      </w:r>
    </w:p>
    <w:p>
      <w:pPr>
        <w:pStyle w:val="ListBullet"/>
      </w:pPr>
      <w:r>
        <w:t>Use soft deletion or archival for business records; preserve audit history.</w:t>
      </w:r>
    </w:p>
    <w:p>
      <w:pPr>
        <w:pStyle w:val="ListBullet"/>
      </w:pPr>
      <w:r>
        <w:t>Store files in private object storage and keep metadata in PostgreSQL.</w:t>
      </w:r>
    </w:p>
    <w:p>
      <w:pPr>
        <w:pStyle w:val="ListBullet"/>
      </w:pPr>
      <w:r>
        <w:t>Apply tenant/company/project/site authorization at query and service layers.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ERD-MMS-001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