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Technical Architecture and Sprint Backlog</w:t>
      </w:r>
    </w:p>
    <w:p>
      <w:pPr>
        <w:jc w:val="center"/>
      </w:pPr>
      <w:r>
        <w:rPr>
          <w:b/>
          <w:color w:val="17365D"/>
        </w:rPr>
        <w:t>Manpower Mobility Management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ARCH-MMS-001</w:t>
            </w:r>
          </w:p>
        </w:tc>
      </w:tr>
      <w:tr>
        <w:tc>
          <w:tcPr>
            <w:tcW w:type="dxa" w:w="4968"/>
            <w:shd w:fill="D9EAF7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fill="D9EAF7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Final — MVP Baseline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for</w:t>
            </w:r>
          </w:p>
        </w:tc>
        <w:tc>
          <w:tcPr>
            <w:tcW w:type="dxa" w:w="4968"/>
          </w:tcPr>
          <w:p>
            <w:r>
              <w:t>Product, Design, Engineering, Operations and Client Stakeholders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b/>
        </w:rPr>
        <w:t>Table of Contents</w:t>
      </w:r>
      <w:r/>
      <w:fldSimple w:instr="TOC \o &quot;1-3&quot; \h \z \u"/>
    </w:p>
    <w:p>
      <w:r>
        <w:br w:type="page"/>
      </w:r>
    </w:p>
    <w:p>
      <w:pPr>
        <w:pStyle w:val="Heading1"/>
      </w:pPr>
      <w:r>
        <w:t>1 Architecture Overview</w:t>
      </w:r>
    </w:p>
    <w:p>
      <w:r>
        <w:t>This document is the approved MVP baseline for a system that manages the complete worker lifecycle from registration and compliance through contractor–client approval, mobilization, on-site presence and demobilization. It uses a single worker profile, assignment history and automation rules so teams can make safe, timely manpower decisions.</w:t>
      </w:r>
    </w:p>
    <w:p>
      <w:r>
        <w:t>The proposed baseline is a Next.js frontend, FastAPI backend and PostgreSQL database, with private object storage and a clear service boundary for automation, reporting and notifications.</w:t>
      </w:r>
    </w:p>
    <w:p>
      <w:pPr>
        <w:pStyle w:val="Heading1"/>
      </w:pPr>
      <w:r>
        <w:t>2 Logical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color w:val="FFFFFF"/>
              </w:rPr>
              <w:t>Component</w:t>
            </w:r>
          </w:p>
        </w:tc>
        <w:tc>
          <w:tcPr>
            <w:tcW w:type="dxa" w:w="4968"/>
            <w:shd w:fill="17365D"/>
          </w:tcPr>
          <w:p>
            <w:r>
              <w:rPr>
                <w:color w:val="FFFFFF"/>
              </w:rPr>
              <w:t>Responsibility</w:t>
            </w:r>
          </w:p>
        </w:tc>
      </w:tr>
      <w:tr>
        <w:tc>
          <w:tcPr>
            <w:tcW w:type="dxa" w:w="4968"/>
            <w:vAlign w:val="center"/>
          </w:tcPr>
          <w:p>
            <w:r>
              <w:t>Next.js web app</w:t>
            </w:r>
          </w:p>
        </w:tc>
        <w:tc>
          <w:tcPr>
            <w:tcW w:type="dxa" w:w="4968"/>
            <w:vAlign w:val="center"/>
          </w:tcPr>
          <w:p>
            <w:r>
              <w:t>Responsive UI, route protection, forms, tables, dashboards</w:t>
            </w:r>
          </w:p>
        </w:tc>
      </w:tr>
      <w:tr>
        <w:tc>
          <w:tcPr>
            <w:tcW w:type="dxa" w:w="4968"/>
            <w:vAlign w:val="center"/>
          </w:tcPr>
          <w:p>
            <w:r>
              <w:t>FastAPI service</w:t>
            </w:r>
          </w:p>
        </w:tc>
        <w:tc>
          <w:tcPr>
            <w:tcW w:type="dxa" w:w="4968"/>
            <w:vAlign w:val="center"/>
          </w:tcPr>
          <w:p>
            <w:r>
              <w:t>REST API, authorization, business rules, workflow orchestration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PostgreSQL</w:t>
            </w:r>
          </w:p>
        </w:tc>
        <w:tc>
          <w:tcPr>
            <w:tcW w:type="dxa" w:w="4968"/>
            <w:vAlign w:val="center"/>
          </w:tcPr>
          <w:p>
            <w:r>
              <w:t>Transactional data, constraints, indexes, audit metadata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Private object storage</w:t>
            </w:r>
          </w:p>
        </w:tc>
        <w:tc>
          <w:tcPr>
            <w:tcW w:type="dxa" w:w="4968"/>
            <w:vAlign w:val="center"/>
          </w:tcPr>
          <w:p>
            <w:r>
              <w:t>Worker documents and versioned files</w:t>
            </w:r>
          </w:p>
        </w:tc>
      </w:tr>
      <w:tr>
        <w:tc>
          <w:tcPr>
            <w:tcW w:type="dxa" w:w="4968"/>
            <w:vAlign w:val="center"/>
          </w:tcPr>
          <w:p>
            <w:r>
              <w:t>Background worker</w:t>
            </w:r>
          </w:p>
        </w:tc>
        <w:tc>
          <w:tcPr>
            <w:tcW w:type="dxa" w:w="4968"/>
            <w:vAlign w:val="center"/>
          </w:tcPr>
          <w:p>
            <w:r>
              <w:t>Expiry scans, readiness recalculation, notifications, imports</w:t>
            </w:r>
          </w:p>
        </w:tc>
      </w:tr>
      <w:tr>
        <w:tc>
          <w:tcPr>
            <w:tcW w:type="dxa" w:w="4968"/>
            <w:vAlign w:val="center"/>
          </w:tcPr>
          <w:p>
            <w:r>
              <w:t>Email provider</w:t>
            </w:r>
          </w:p>
        </w:tc>
        <w:tc>
          <w:tcPr>
            <w:tcW w:type="dxa" w:w="4968"/>
            <w:vAlign w:val="center"/>
          </w:tcPr>
          <w:p>
            <w:r>
              <w:t>MVP notifications</w:t>
            </w:r>
          </w:p>
        </w:tc>
      </w:tr>
      <w:tr>
        <w:tc>
          <w:tcPr>
            <w:tcW w:type="dxa" w:w="4968"/>
            <w:vAlign w:val="center"/>
          </w:tcPr>
          <w:p>
            <w:r>
              <w:t>Observability</w:t>
            </w:r>
          </w:p>
        </w:tc>
        <w:tc>
          <w:tcPr>
            <w:tcW w:type="dxa" w:w="4968"/>
            <w:vAlign w:val="center"/>
          </w:tcPr>
          <w:p>
            <w:r>
              <w:t>Structured logs, metrics, error tracking and audit review</w:t>
            </w:r>
          </w:p>
        </w:tc>
      </w:tr>
    </w:tbl>
    <w:p>
      <w:pPr>
        <w:pStyle w:val="Heading1"/>
      </w:pPr>
      <w:r>
        <w:t>3 Core Technical Decisions</w:t>
      </w:r>
    </w:p>
    <w:p>
      <w:pPr>
        <w:pStyle w:val="ListBullet"/>
      </w:pPr>
      <w:r>
        <w:t>Use PostgreSQL as the system of record.</w:t>
      </w:r>
    </w:p>
    <w:p>
      <w:pPr>
        <w:pStyle w:val="ListBullet"/>
      </w:pPr>
      <w:r>
        <w:t>Keep documents private and address them through signed, time-limited access.</w:t>
      </w:r>
    </w:p>
    <w:p>
      <w:pPr>
        <w:pStyle w:val="ListBullet"/>
      </w:pPr>
      <w:r>
        <w:t>Keep dynamic requirements data-driven so administrators can change rules without source-code changes.</w:t>
      </w:r>
    </w:p>
    <w:p>
      <w:pPr>
        <w:pStyle w:val="ListBullet"/>
      </w:pPr>
      <w:r>
        <w:t>Treat readiness as a derived evaluation that can be recalculated and explained.</w:t>
      </w:r>
    </w:p>
    <w:p>
      <w:pPr>
        <w:pStyle w:val="ListBullet"/>
      </w:pPr>
      <w:r>
        <w:t>Use role, company, project and site scopes in every protected service operation.</w:t>
      </w:r>
    </w:p>
    <w:p>
      <w:pPr>
        <w:pStyle w:val="ListBullet"/>
      </w:pPr>
      <w:r>
        <w:t>Design APIs and domain events so Phase 2 integrations can be added without changing core lifecycle semantics.</w:t>
      </w:r>
    </w:p>
    <w:p>
      <w:pPr>
        <w:pStyle w:val="Heading1"/>
      </w:pPr>
      <w:r>
        <w:t>4 Sprint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color w:val="FFFFFF"/>
              </w:rPr>
              <w:t>Sprint</w:t>
            </w:r>
          </w:p>
        </w:tc>
        <w:tc>
          <w:tcPr>
            <w:tcW w:type="dxa" w:w="3312"/>
            <w:shd w:fill="17365D"/>
          </w:tcPr>
          <w:p>
            <w:r>
              <w:rPr>
                <w:color w:val="FFFFFF"/>
              </w:rPr>
              <w:t>Outcome</w:t>
            </w:r>
          </w:p>
        </w:tc>
        <w:tc>
          <w:tcPr>
            <w:tcW w:type="dxa" w:w="3312"/>
            <w:shd w:fill="17365D"/>
          </w:tcPr>
          <w:p>
            <w:r>
              <w:rPr>
                <w:color w:val="FFFFFF"/>
              </w:rPr>
              <w:t>Key stories</w:t>
            </w:r>
          </w:p>
        </w:tc>
      </w:tr>
      <w:tr>
        <w:tc>
          <w:tcPr>
            <w:tcW w:type="dxa" w:w="3312"/>
            <w:vAlign w:val="center"/>
          </w:tcPr>
          <w:p>
            <w:r>
              <w:t>Sprint 0 Foundation</w:t>
            </w:r>
          </w:p>
        </w:tc>
        <w:tc>
          <w:tcPr>
            <w:tcW w:type="dxa" w:w="3312"/>
            <w:vAlign w:val="center"/>
          </w:tcPr>
          <w:p>
            <w:r>
              <w:t>Running environments</w:t>
            </w:r>
          </w:p>
        </w:tc>
        <w:tc>
          <w:tcPr>
            <w:tcW w:type="dxa" w:w="3312"/>
            <w:vAlign w:val="center"/>
          </w:tcPr>
          <w:p>
            <w:r>
              <w:t>Repository structure, Next.js shell, FastAPI shell, PostgreSQL, migrations, CI, health check, env strategy</w:t>
            </w:r>
          </w:p>
        </w:tc>
      </w:tr>
      <w:tr>
        <w:tc>
          <w:tcPr>
            <w:tcW w:type="dxa" w:w="3312"/>
            <w:vAlign w:val="center"/>
          </w:tcPr>
          <w:p>
            <w:r>
              <w:t>Sprint 1 Access and Master Data</w:t>
            </w:r>
          </w:p>
        </w:tc>
        <w:tc>
          <w:tcPr>
            <w:tcW w:type="dxa" w:w="3312"/>
            <w:vAlign w:val="center"/>
          </w:tcPr>
          <w:p>
            <w:r>
              <w:t>Secure operational base</w:t>
            </w:r>
          </w:p>
        </w:tc>
        <w:tc>
          <w:tcPr>
            <w:tcW w:type="dxa" w:w="3312"/>
            <w:vAlign w:val="center"/>
          </w:tcPr>
          <w:p>
            <w:r>
              <w:t>Auth, RBAC, companies, projects, sites, worker master, search and filters</w:t>
            </w:r>
          </w:p>
        </w:tc>
      </w:tr>
      <w:tr>
        <w:tc>
          <w:tcPr>
            <w:tcW w:type="dxa" w:w="3312"/>
            <w:vAlign w:val="center"/>
          </w:tcPr>
          <w:p>
            <w:r>
              <w:t>Sprint 2 Worker Onboarding</w:t>
            </w:r>
          </w:p>
        </w:tc>
        <w:tc>
          <w:tcPr>
            <w:tcW w:type="dxa" w:w="3312"/>
            <w:vAlign w:val="center"/>
          </w:tcPr>
          <w:p>
            <w:r>
              <w:t>Reliable worker intake</w:t>
            </w:r>
          </w:p>
        </w:tc>
        <w:tc>
          <w:tcPr>
            <w:tcW w:type="dxa" w:w="3312"/>
            <w:vAlign w:val="center"/>
          </w:tcPr>
          <w:p>
            <w:r>
              <w:t>Bulk import, validation, duplicate detection, assignment history, audit</w:t>
            </w:r>
          </w:p>
        </w:tc>
      </w:tr>
      <w:tr>
        <w:tc>
          <w:tcPr>
            <w:tcW w:type="dxa" w:w="3312"/>
            <w:vAlign w:val="center"/>
          </w:tcPr>
          <w:p>
            <w:r>
              <w:t>Sprint 3 Documents and Rules</w:t>
            </w:r>
          </w:p>
        </w:tc>
        <w:tc>
          <w:tcPr>
            <w:tcW w:type="dxa" w:w="3312"/>
            <w:vAlign w:val="center"/>
          </w:tcPr>
          <w:p>
            <w:r>
              <w:t>Automated compliance</w:t>
            </w:r>
          </w:p>
        </w:tc>
        <w:tc>
          <w:tcPr>
            <w:tcW w:type="dxa" w:w="3312"/>
            <w:vAlign w:val="center"/>
          </w:tcPr>
          <w:p>
            <w:r>
              <w:t>Document center, versioning, verification, requirement catalog and rule engine</w:t>
            </w:r>
          </w:p>
        </w:tc>
      </w:tr>
      <w:tr>
        <w:tc>
          <w:tcPr>
            <w:tcW w:type="dxa" w:w="3312"/>
            <w:vAlign w:val="center"/>
          </w:tcPr>
          <w:p>
            <w:r>
              <w:t>Sprint 4 Readiness and Approval</w:t>
            </w:r>
          </w:p>
        </w:tc>
        <w:tc>
          <w:tcPr>
            <w:tcW w:type="dxa" w:w="3312"/>
            <w:vAlign w:val="center"/>
          </w:tcPr>
          <w:p>
            <w:r>
              <w:t>Decision-ready submissions</w:t>
            </w:r>
          </w:p>
        </w:tc>
        <w:tc>
          <w:tcPr>
            <w:tcW w:type="dxa" w:w="3312"/>
            <w:vAlign w:val="center"/>
          </w:tcPr>
          <w:p>
            <w:r>
              <w:t>Pre-mobilization, checklist, readiness engine, configurable approval workflow, notifications</w:t>
            </w:r>
          </w:p>
        </w:tc>
      </w:tr>
      <w:tr>
        <w:tc>
          <w:tcPr>
            <w:tcW w:type="dxa" w:w="3312"/>
            <w:vAlign w:val="center"/>
          </w:tcPr>
          <w:p>
            <w:r>
              <w:t>Sprint 5 Movement</w:t>
            </w:r>
          </w:p>
        </w:tc>
        <w:tc>
          <w:tcPr>
            <w:tcW w:type="dxa" w:w="3312"/>
            <w:vAlign w:val="center"/>
          </w:tcPr>
          <w:p>
            <w:r>
              <w:t>Operational movement control</w:t>
            </w:r>
          </w:p>
        </w:tc>
        <w:tc>
          <w:tcPr>
            <w:tcW w:type="dxa" w:w="3312"/>
            <w:vAlign w:val="center"/>
          </w:tcPr>
          <w:p>
            <w:r>
              <w:t>Mobilization scheduling, travel, arrival, on-site board, demobilization and clearance</w:t>
            </w:r>
          </w:p>
        </w:tc>
      </w:tr>
      <w:tr>
        <w:tc>
          <w:tcPr>
            <w:tcW w:type="dxa" w:w="3312"/>
            <w:vAlign w:val="center"/>
          </w:tcPr>
          <w:p>
            <w:r>
              <w:t>Sprint 6 Analytics and Hardening</w:t>
            </w:r>
          </w:p>
        </w:tc>
        <w:tc>
          <w:tcPr>
            <w:tcW w:type="dxa" w:w="3312"/>
            <w:vAlign w:val="center"/>
          </w:tcPr>
          <w:p>
            <w:r>
              <w:t>Production-ready MVP</w:t>
            </w:r>
          </w:p>
        </w:tc>
        <w:tc>
          <w:tcPr>
            <w:tcW w:type="dxa" w:w="3312"/>
            <w:vAlign w:val="center"/>
          </w:tcPr>
          <w:p>
            <w:r>
              <w:t>Dashboards, reports/export, performance, security, accessibility, UAT, backup/restore rehearsal</w:t>
            </w:r>
          </w:p>
        </w:tc>
      </w:tr>
    </w:tbl>
    <w:p>
      <w:pPr>
        <w:pStyle w:val="Heading1"/>
      </w:pPr>
      <w:r>
        <w:t>5 Definition of Done</w:t>
      </w:r>
    </w:p>
    <w:p>
      <w:pPr>
        <w:pStyle w:val="ListBullet"/>
      </w:pPr>
      <w:r>
        <w:t>Acceptance criteria pass with representative worker, assignment, document and movement data.</w:t>
      </w:r>
    </w:p>
    <w:p>
      <w:pPr>
        <w:pStyle w:val="ListBullet"/>
      </w:pPr>
      <w:r>
        <w:t>Authorization tests confirm cross-company/project/site isolation.</w:t>
      </w:r>
    </w:p>
    <w:p>
      <w:pPr>
        <w:pStyle w:val="ListBullet"/>
      </w:pPr>
      <w:r>
        <w:t>Blocking document rules prevent mobilization.</w:t>
      </w:r>
    </w:p>
    <w:p>
      <w:pPr>
        <w:pStyle w:val="ListBullet"/>
      </w:pPr>
      <w:r>
        <w:t>Audit records exist for all critical mutations.</w:t>
      </w:r>
    </w:p>
    <w:p>
      <w:pPr>
        <w:pStyle w:val="ListBullet"/>
      </w:pPr>
      <w:r>
        <w:t>Automated tests cover API, domain rules and key UI paths.</w:t>
      </w:r>
    </w:p>
    <w:p>
      <w:pPr>
        <w:pStyle w:val="ListBullet"/>
      </w:pPr>
      <w:r>
        <w:t>Deployment, rollback, backup and operational runbook are documented.</w:t>
      </w:r>
    </w:p>
    <w:p>
      <w:pPr>
        <w:pStyle w:val="Heading1"/>
      </w:pPr>
      <w:r>
        <w:t>6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color w:val="FFFFFF"/>
              </w:rPr>
              <w:t>Risk</w:t>
            </w:r>
          </w:p>
        </w:tc>
        <w:tc>
          <w:tcPr>
            <w:tcW w:type="dxa" w:w="4968"/>
            <w:shd w:fill="17365D"/>
          </w:tcPr>
          <w:p>
            <w:r>
              <w:rPr>
                <w:color w:val="FFFFFF"/>
              </w:rPr>
              <w:t>Mitigation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Inconsistent source worker data</w:t>
            </w:r>
          </w:p>
        </w:tc>
        <w:tc>
          <w:tcPr>
            <w:tcW w:type="dxa" w:w="4968"/>
            <w:vAlign w:val="center"/>
          </w:tcPr>
          <w:p>
            <w:r>
              <w:t>Import preview, duplicate review and canonical worker ID</w:t>
            </w:r>
          </w:p>
        </w:tc>
      </w:tr>
      <w:tr>
        <w:tc>
          <w:tcPr>
            <w:tcW w:type="dxa" w:w="4968"/>
            <w:vAlign w:val="center"/>
          </w:tcPr>
          <w:p>
            <w:r>
              <w:t>Rule complexity grows</w:t>
            </w:r>
          </w:p>
        </w:tc>
        <w:tc>
          <w:tcPr>
            <w:tcW w:type="dxa" w:w="4968"/>
            <w:vAlign w:val="center"/>
          </w:tcPr>
          <w:p>
            <w:r>
              <w:t>Versioned data-driven rule model and explainable readiness</w:t>
            </w:r>
          </w:p>
        </w:tc>
      </w:tr>
      <w:tr>
        <w:tc>
          <w:tcPr>
            <w:tcW w:type="dxa" w:w="4968"/>
            <w:vAlign w:val="center"/>
          </w:tcPr>
          <w:p>
            <w:r>
              <w:t>Sensitive documents exposed</w:t>
            </w:r>
          </w:p>
        </w:tc>
        <w:tc>
          <w:tcPr>
            <w:tcW w:type="dxa" w:w="4968"/>
            <w:vAlign w:val="center"/>
          </w:tcPr>
          <w:p>
            <w:r>
              <w:t>Private storage, signed URLs, server-side authorization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Approval delays</w:t>
            </w:r>
          </w:p>
        </w:tc>
        <w:tc>
          <w:tcPr>
            <w:tcW w:type="dxa" w:w="4968"/>
            <w:vAlign w:val="center"/>
          </w:tcPr>
          <w:p>
            <w:r>
              <w:t>Clear ownership, notifications, queue views and aging metrics</w:t>
            </w:r>
          </w:p>
        </w:tc>
      </w:tr>
      <w:tr>
        <w:tc>
          <w:tcPr>
            <w:tcW w:type="dxa" w:w="4968"/>
            <w:vAlign w:val="center"/>
          </w:tcPr>
          <w:p>
            <w:r>
              <w:t>Reporting disputes</w:t>
            </w:r>
          </w:p>
        </w:tc>
        <w:tc>
          <w:tcPr>
            <w:tcW w:type="dxa" w:w="4968"/>
            <w:vAlign w:val="center"/>
          </w:tcPr>
          <w:p>
            <w:r>
              <w:t>Single transactional source, saved filters and export traceability</w:t>
            </w:r>
          </w:p>
        </w:tc>
      </w:tr>
    </w:tbl>
    <w:p>
      <w:pPr>
        <w:pStyle w:val="Heading1"/>
      </w:pPr>
      <w:r>
        <w:t>7 Deployment Baseline</w:t>
      </w:r>
    </w:p>
    <w:p>
      <w:pPr>
        <w:pStyle w:val="ListBullet"/>
      </w:pPr>
      <w:r>
        <w:t>Frontend deploys as a Next.js application. Backend deploys as a FastAPI service. PostgreSQL is managed with automated backups and migration control.</w:t>
      </w:r>
    </w:p>
    <w:p>
      <w:pPr>
        <w:pStyle w:val="ListBullet"/>
      </w:pPr>
      <w:r>
        <w:t>Use separate development, staging and production environments with environment-specific secrets.</w:t>
      </w:r>
    </w:p>
    <w:p>
      <w:pPr>
        <w:pStyle w:val="ListBullet"/>
      </w:pPr>
      <w:r>
        <w:t>Monitor API latency, import failures, background job failures, document expiry jobs and approval aging.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• Version 1.0  |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7365D"/>
      </w:rPr>
      <w:t>MANPOWER MOBILITY MANAGEMENT SYSTEM  |  ARCH-MMS-001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