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left"/>
      </w:pPr>
      <w:r>
        <w:rPr>
          <w:rFonts w:ascii="Arial" w:hAnsi="Arial"/>
          <w:b/>
          <w:color w:val="17324D"/>
          <w:sz w:val="36"/>
        </w:rPr>
        <w:t>HIGHLIGHTS</w:t>
      </w:r>
    </w:p>
    <w:p>
      <w:pPr>
        <w:spacing w:after="320"/>
      </w:pPr>
      <w:r>
        <w:rPr>
          <w:rFonts w:ascii="Arial" w:hAnsi="Arial"/>
          <w:b/>
          <w:color w:val="333333"/>
          <w:sz w:val="22"/>
        </w:rPr>
        <w:t>NARCIS: Authenticated Neural Coverless Image Signaling with Attack-Qualified Codebooks and Error Correction</w:t>
      </w:r>
    </w:p>
    <w:p>
      <w:pPr>
        <w:spacing w:after="16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Attack-qualified codebooks verify finite-index cover availability.</w:t>
      </w:r>
    </w:p>
    <w:p>
      <w:pPr>
        <w:spacing w:after="16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Unchanged images carry authenticated and error-corrected messages.</w:t>
      </w:r>
    </w:p>
    <w:p>
      <w:pPr>
        <w:spacing w:after="16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1,575/1,575 authenticated recoveries span BOSSBase and Caltech-101.</w:t>
      </w:r>
    </w:p>
    <w:p>
      <w:pPr>
        <w:spacing w:after="16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Net rate rises from 0.184 to 1.213 bits/cover with payload size.</w:t>
      </w:r>
    </w:p>
    <w:p>
      <w:pPr>
        <w:spacing w:after="160" w:line="276" w:lineRule="auto"/>
        <w:numPr>
          <w:ilvl w:val="0"/>
          <w:numId w:val="10"/>
        </w:numPr>
      </w:pPr>
      <w:r>
        <w:rPr>
          <w:rFonts w:ascii="Arial" w:hAnsi="Arial"/>
          <w:b w:val="0"/>
          <w:color w:val="000000"/>
          <w:sz w:val="22"/>
        </w:rPr>
        <w:t>Selection leakage is measured and reported by dataset and detector.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NARCIS Highlights</dc:title>
  <dc:subject>Highlights for Elsevier submission</dc:subject>
  <dc:creator>NARCIS authors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