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8.png" ContentType="image/png"/>
  <Override PartName="/word/media/rId33.png" ContentType="image/png"/>
  <Override PartName="/word/media/rId32.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Catch</w:t>
      </w:r>
      <w:r>
        <w:t xml:space="preserve"> </w:t>
      </w:r>
      <w:r>
        <w:t xml:space="preserve">per</w:t>
      </w:r>
      <w:r>
        <w:t xml:space="preserve"> </w:t>
      </w:r>
      <w:r>
        <w:t xml:space="preserve">Unit</w:t>
      </w:r>
      <w:r>
        <w:t xml:space="preserve"> </w:t>
      </w:r>
      <w:r>
        <w:t xml:space="preserve">Effort</w:t>
      </w:r>
      <w:r>
        <w:t xml:space="preserve"> </w:t>
      </w:r>
      <w:r>
        <w:t xml:space="preserve">Standardisation</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1" w:name="catch-per-unit-effort-standardisation-report-for-airport"/>
      <w:r>
        <w:t xml:space="preserve">Catch per Unit Effort Standardisation Report for Airport</w:t>
      </w:r>
      <w:bookmarkEnd w:id="21"/>
    </w:p>
    <w:p>
      <w:pPr>
        <w:pStyle w:val="FirstParagraph"/>
      </w:pPr>
      <w:r>
        <w:t xml:space="preserve">This report provides details on the modelling performed for the Airport spatial management unit, catch per unit effort (CPUE) data. A series of three models were fit to the raw CPUE data at the level of the year/diver/reef aggregation.</w:t>
      </w:r>
    </w:p>
    <w:p>
      <w:pPr>
        <w:pStyle w:val="BodyText"/>
      </w:pPr>
      <w:r>
        <w:t xml:space="preserve">This report is structured to provide an overview of the data used in the modelling, a brief description of the models used, comparison of the models, and results of the standardisation.</w:t>
      </w:r>
    </w:p>
    <w:p>
      <w:pPr>
        <w:pStyle w:val="Heading2"/>
      </w:pPr>
      <w:bookmarkStart w:id="22" w:name="data-summary"/>
      <w:r>
        <w:t xml:space="preserve">Data Summary</w:t>
      </w:r>
      <w:bookmarkEnd w:id="22"/>
    </w:p>
    <w:p>
      <w:pPr>
        <w:pStyle w:val="FirstParagraph"/>
      </w:pPr>
      <w:r>
        <w:t xml:space="preserve">We use the total catch per diver, both Blacklip and Greenlip abalone. This is done as effort is recorded as time spent underwater, and no delineation is made to where the effort is used (Blacklip vs Greenlip). Over the quota years 2000 to 2016, there were 43 divers, fishing 5 reefs. In total, there were 4784 recorded dives from log books.</w:t>
      </w:r>
    </w:p>
    <w:p>
      <w:pPr>
        <w:pStyle w:val="BodyText"/>
      </w:pPr>
      <w:r>
        <w:t xml:space="preserve">The figure below shows the seasonal variation over the given time period, within reef locations. The mean CPUE has been calculated as the geometric mean of catches.</w:t>
      </w:r>
    </w:p>
    <w:p>
      <w:pPr>
        <w:pStyle w:val="BodyText"/>
      </w:pPr>
      <w:r>
        <w:drawing>
          <wp:inline>
            <wp:extent cx="5334000" cy="3290534"/>
            <wp:effectExtent b="0" l="0" r="0" t="0"/>
            <wp:docPr descr="" title="" id="1" name="Picture"/>
            <a:graphic>
              <a:graphicData uri="http://schemas.openxmlformats.org/drawingml/2006/picture">
                <pic:pic>
                  <pic:nvPicPr>
                    <pic:cNvPr descr="/Users/slane/interadata/analytical-work/2017-18/vfa-gorfine/reports/standardisation_report_airport_files/figure-docx/seasonal-plot-1.png" id="0" name="Picture"/>
                    <pic:cNvPicPr>
                      <a:picLocks noChangeArrowheads="1" noChangeAspect="1"/>
                    </pic:cNvPicPr>
                  </pic:nvPicPr>
                  <pic:blipFill>
                    <a:blip r:embed="rId23"/>
                    <a:stretch>
                      <a:fillRect/>
                    </a:stretch>
                  </pic:blipFill>
                  <pic:spPr bwMode="auto">
                    <a:xfrm>
                      <a:off x="0" y="0"/>
                      <a:ext cx="5334000" cy="3290534"/>
                    </a:xfrm>
                    <a:prstGeom prst="rect">
                      <a:avLst/>
                    </a:prstGeom>
                    <a:noFill/>
                    <a:ln w="9525">
                      <a:noFill/>
                      <a:headEnd/>
                      <a:tailEnd/>
                    </a:ln>
                  </pic:spPr>
                </pic:pic>
              </a:graphicData>
            </a:graphic>
          </wp:inline>
        </w:drawing>
      </w:r>
    </w:p>
    <w:p>
      <w:pPr>
        <w:pStyle w:val="Heading2"/>
      </w:pPr>
      <w:bookmarkStart w:id="24" w:name="modelling"/>
      <w:r>
        <w:t xml:space="preserve">Modelling</w:t>
      </w:r>
      <w:bookmarkEnd w:id="24"/>
    </w:p>
    <w:p>
      <w:pPr>
        <w:pStyle w:val="FirstParagraph"/>
      </w:pPr>
      <w:r>
        <w:t xml:space="preserve">A series of three models was fit to the data. Given the response variable (catch in kg) is positive, a Gamma regression was used. The shape parameter of the Gamma distribution was kept constant, whilst the rate parameter was modelled dependent on year, reef and diver effects. A Bayesian framework was used for modelling, with vague priors used. The three models are as follows:</w:t>
      </w:r>
    </w:p>
    <w:p>
      <w:pPr>
        <w:pStyle w:val="BodyText"/>
      </w:pPr>
      <m:oMathPara>
        <m:oMathParaPr>
          <m:jc m:val="center"/>
        </m:oMathParaPr>
        <m:oMath>
          <m:m>
            <m:mPr>
              <m:baseJc m:val="center"/>
              <m:plcHide m:val="1"/>
              <m:mcs>
                <m:mc>
                  <m:mcPr>
                    <m:mcJc m:val="right"/>
                    <m:count m:val="1"/>
                  </m:mcPr>
                </m:mc>
                <m:mc>
                  <m:mcPr>
                    <m:mcJc m:val="left"/>
                    <m:count m:val="1"/>
                  </m:mcPr>
                </m:mc>
              </m:mcs>
            </m:mPr>
            <m:mr>
              <m:e>
                <m:sSub>
                  <m:e>
                    <m:r>
                      <m:t>C</m:t>
                    </m:r>
                  </m:e>
                  <m:sub>
                    <m:r>
                      <m:t>t</m:t>
                    </m:r>
                    <m:r>
                      <m:t>r</m:t>
                    </m:r>
                    <m:r>
                      <m:t>d</m:t>
                    </m:r>
                  </m:sub>
                </m:sSub>
              </m:e>
              <m:e>
                <m:r>
                  <m:t>∼</m:t>
                </m:r>
                <m:r>
                  <m:rPr>
                    <m:sty m:val="p"/>
                  </m:rPr>
                  <m:t>Gamma</m:t>
                </m:r>
                <m:r>
                  <m:t>(</m:t>
                </m:r>
                <m:r>
                  <m:t>α</m:t>
                </m:r>
                <m:r>
                  <m:t>,</m:t>
                </m:r>
                <m:sSub>
                  <m:e>
                    <m:r>
                      <m:t>β</m:t>
                    </m:r>
                  </m:e>
                  <m:sub>
                    <m:r>
                      <m:t>t</m:t>
                    </m:r>
                    <m:r>
                      <m:t>r</m:t>
                    </m:r>
                    <m:r>
                      <m:t>d</m:t>
                    </m:r>
                  </m:sub>
                </m:sSub>
                <m:r>
                  <m:t>)</m:t>
                </m:r>
              </m:e>
            </m:mr>
            <m:mr>
              <m:e>
                <m:sSub>
                  <m:e>
                    <m:r>
                      <m:t>β</m:t>
                    </m:r>
                  </m:e>
                  <m:sub>
                    <m:r>
                      <m:t>t</m:t>
                    </m:r>
                    <m:r>
                      <m:t>r</m:t>
                    </m:r>
                    <m:r>
                      <m:t>d</m:t>
                    </m:r>
                  </m:sub>
                </m:sSub>
              </m:e>
              <m:e>
                <m:r>
                  <m:t>=</m:t>
                </m:r>
                <m:r>
                  <m:t>μ</m:t>
                </m:r>
                <m:r>
                  <m:t>+</m:t>
                </m:r>
                <m:sSub>
                  <m:e>
                    <m:r>
                      <m:t>E</m:t>
                    </m:r>
                  </m:e>
                  <m:sub>
                    <m:r>
                      <m:t>t</m:t>
                    </m:r>
                    <m:r>
                      <m:t>r</m:t>
                    </m:r>
                    <m:r>
                      <m:t>d</m:t>
                    </m:r>
                  </m:sub>
                </m:sSub>
                <m:r>
                  <m:t>+</m:t>
                </m:r>
                <m:sSub>
                  <m:e>
                    <m:r>
                      <m:rPr>
                        <m:sty m:val="p"/>
                      </m:rPr>
                      <m:t>Year</m:t>
                    </m:r>
                  </m:e>
                  <m:sub>
                    <m:r>
                      <m:t>t</m:t>
                    </m:r>
                  </m:sub>
                </m:sSub>
                <m:r>
                  <m:t>+</m:t>
                </m:r>
                <m:sSub>
                  <m:e>
                    <m:r>
                      <m:rPr>
                        <m:sty m:val="p"/>
                      </m:rPr>
                      <m:t>Reef</m:t>
                    </m:r>
                  </m:e>
                  <m:sub>
                    <m:r>
                      <m:t>r</m:t>
                    </m:r>
                  </m:sub>
                </m:sSub>
                <m:r>
                  <m:t>+</m:t>
                </m:r>
                <m:sSub>
                  <m:e>
                    <m:r>
                      <m:rPr>
                        <m:sty m:val="p"/>
                      </m:rPr>
                      <m:t>Diver</m:t>
                    </m:r>
                  </m:e>
                  <m:sub>
                    <m:r>
                      <m:t>d</m:t>
                    </m:r>
                  </m:sub>
                </m:sSub>
              </m:e>
            </m:mr>
            <m:mr>
              <m:e>
                <m:sSub>
                  <m:e>
                    <m:r>
                      <m:t>β</m:t>
                    </m:r>
                  </m:e>
                  <m:sub>
                    <m:r>
                      <m:t>t</m:t>
                    </m:r>
                    <m:r>
                      <m:t>r</m:t>
                    </m:r>
                    <m:r>
                      <m:t>d</m:t>
                    </m:r>
                  </m:sub>
                </m:sSub>
              </m:e>
              <m:e>
                <m:r>
                  <m:t>=</m:t>
                </m:r>
                <m:r>
                  <m:t>μ</m:t>
                </m:r>
                <m:r>
                  <m:t>+</m:t>
                </m:r>
                <m:sSub>
                  <m:e>
                    <m:r>
                      <m:t>E</m:t>
                    </m:r>
                  </m:e>
                  <m:sub>
                    <m:r>
                      <m:t>t</m:t>
                    </m:r>
                    <m:r>
                      <m:t>r</m:t>
                    </m:r>
                    <m:r>
                      <m:t>d</m:t>
                    </m:r>
                  </m:sub>
                </m:sSub>
                <m:r>
                  <m:t>+</m:t>
                </m:r>
                <m:sSub>
                  <m:e>
                    <m:r>
                      <m:rPr>
                        <m:sty m:val="p"/>
                      </m:rPr>
                      <m:t>Year</m:t>
                    </m:r>
                  </m:e>
                  <m:sub>
                    <m:r>
                      <m:t>t</m:t>
                    </m:r>
                  </m:sub>
                </m:sSub>
                <m:r>
                  <m:t>+</m:t>
                </m:r>
                <m:sSub>
                  <m:e>
                    <m:r>
                      <m:rPr>
                        <m:sty m:val="p"/>
                      </m:rPr>
                      <m:t>Reef</m:t>
                    </m:r>
                  </m:e>
                  <m:sub>
                    <m:r>
                      <m:t>r</m:t>
                    </m:r>
                  </m:sub>
                </m:sSub>
                <m:r>
                  <m:t>+</m:t>
                </m:r>
                <m:sSub>
                  <m:e>
                    <m:r>
                      <m:rPr>
                        <m:sty m:val="p"/>
                      </m:rPr>
                      <m:t>Diver</m:t>
                    </m:r>
                  </m:e>
                  <m:sub>
                    <m:r>
                      <m:t>d</m:t>
                    </m:r>
                  </m:sub>
                </m:sSub>
                <m:r>
                  <m:t>+</m:t>
                </m:r>
                <m:sSub>
                  <m:e>
                    <m:r>
                      <m:rPr>
                        <m:sty m:val="p"/>
                      </m:rPr>
                      <m:t>Year by Reef</m:t>
                    </m:r>
                  </m:e>
                  <m:sub>
                    <m:r>
                      <m:t>t</m:t>
                    </m:r>
                    <m:r>
                      <m:t>r</m:t>
                    </m:r>
                  </m:sub>
                </m:sSub>
              </m:e>
            </m:mr>
            <m:mr>
              <m:e>
                <m:sSub>
                  <m:e>
                    <m:r>
                      <m:t>β</m:t>
                    </m:r>
                  </m:e>
                  <m:sub>
                    <m:r>
                      <m:t>t</m:t>
                    </m:r>
                    <m:r>
                      <m:t>r</m:t>
                    </m:r>
                    <m:r>
                      <m:t>d</m:t>
                    </m:r>
                  </m:sub>
                </m:sSub>
              </m:e>
              <m:e>
                <m:r>
                  <m:t>=</m:t>
                </m:r>
                <m:r>
                  <m:t>μ</m:t>
                </m:r>
                <m:r>
                  <m:t>+</m:t>
                </m:r>
                <m:sSub>
                  <m:e>
                    <m:r>
                      <m:t>E</m:t>
                    </m:r>
                  </m:e>
                  <m:sub>
                    <m:r>
                      <m:t>t</m:t>
                    </m:r>
                    <m:r>
                      <m:t>r</m:t>
                    </m:r>
                    <m:r>
                      <m:t>d</m:t>
                    </m:r>
                  </m:sub>
                </m:sSub>
                <m:r>
                  <m:t>+</m:t>
                </m:r>
                <m:sSub>
                  <m:e>
                    <m:r>
                      <m:rPr>
                        <m:sty m:val="p"/>
                      </m:rPr>
                      <m:t>Year</m:t>
                    </m:r>
                  </m:e>
                  <m:sub>
                    <m:r>
                      <m:t>t</m:t>
                    </m:r>
                  </m:sub>
                </m:sSub>
                <m:r>
                  <m:t>+</m:t>
                </m:r>
                <m:sSub>
                  <m:e>
                    <m:r>
                      <m:rPr>
                        <m:sty m:val="p"/>
                      </m:rPr>
                      <m:t>Reef</m:t>
                    </m:r>
                  </m:e>
                  <m:sub>
                    <m:r>
                      <m:t>r</m:t>
                    </m:r>
                  </m:sub>
                </m:sSub>
                <m:r>
                  <m:t>+</m:t>
                </m:r>
                <m:sSub>
                  <m:e>
                    <m:r>
                      <m:rPr>
                        <m:sty m:val="p"/>
                      </m:rPr>
                      <m:t>Diver</m:t>
                    </m:r>
                  </m:e>
                  <m:sub>
                    <m:r>
                      <m:t>d</m:t>
                    </m:r>
                  </m:sub>
                </m:sSub>
                <m:r>
                  <m:t>+</m:t>
                </m:r>
                <m:sSub>
                  <m:e>
                    <m:r>
                      <m:rPr>
                        <m:sty m:val="p"/>
                      </m:rPr>
                      <m:t>Year by Reef</m:t>
                    </m:r>
                  </m:e>
                  <m:sub>
                    <m:r>
                      <m:t>t</m:t>
                    </m:r>
                    <m:r>
                      <m:t>r</m:t>
                    </m:r>
                  </m:sub>
                </m:sSub>
                <m:r>
                  <m:t>+</m:t>
                </m:r>
                <m:sSub>
                  <m:e>
                    <m:r>
                      <m:rPr>
                        <m:sty m:val="p"/>
                      </m:rPr>
                      <m:t>Year by Diver</m:t>
                    </m:r>
                  </m:e>
                  <m:sub>
                    <m:r>
                      <m:t>t</m:t>
                    </m:r>
                    <m:r>
                      <m:t>d</m:t>
                    </m:r>
                  </m:sub>
                </m:sSub>
              </m:e>
            </m:mr>
          </m:m>
        </m:oMath>
      </m:oMathPara>
    </w:p>
    <w:p>
      <w:pPr>
        <w:pStyle w:val="FirstParagraph"/>
      </w:pPr>
      <w:r>
        <w:t xml:space="preserve">where</w:t>
      </w:r>
      <w:r>
        <w:t xml:space="preserve"> </w:t>
      </w:r>
      <m:oMath>
        <m:sSub>
          <m:e>
            <m:r>
              <m:t>C</m:t>
            </m:r>
          </m:e>
          <m:sub>
            <m:r>
              <m:t>t</m:t>
            </m:r>
            <m:r>
              <m:t>r</m:t>
            </m:r>
            <m:r>
              <m:t>d</m:t>
            </m:r>
          </m:sub>
        </m:sSub>
      </m:oMath>
      <w:r>
        <w:t xml:space="preserve"> </w:t>
      </w:r>
      <w:r>
        <w:t xml:space="preserve">and</w:t>
      </w:r>
      <w:r>
        <w:t xml:space="preserve"> </w:t>
      </w:r>
      <m:oMath>
        <m:sSub>
          <m:e>
            <m:r>
              <m:t>E</m:t>
            </m:r>
          </m:e>
          <m:sub>
            <m:r>
              <m:t>t</m:t>
            </m:r>
            <m:r>
              <m:t>r</m:t>
            </m:r>
            <m:r>
              <m:t>d</m:t>
            </m:r>
          </m:sub>
        </m:sSub>
      </m:oMath>
      <w:r>
        <w:t xml:space="preserve"> </w:t>
      </w:r>
      <w:r>
        <w:t xml:space="preserve">are the total catch and effort recorded by diver</w:t>
      </w:r>
      <w:r>
        <w:t xml:space="preserve"> </w:t>
      </w:r>
      <m:oMath>
        <m:r>
          <m:t>d</m:t>
        </m:r>
      </m:oMath>
      <w:r>
        <w:t xml:space="preserve"> </w:t>
      </w:r>
      <w:r>
        <w:t xml:space="preserve">on reef</w:t>
      </w:r>
      <w:r>
        <w:t xml:space="preserve"> </w:t>
      </w:r>
      <m:oMath>
        <m:r>
          <m:t>r</m:t>
        </m:r>
      </m:oMath>
      <w:r>
        <w:t xml:space="preserve"> </w:t>
      </w:r>
      <w:r>
        <w:t xml:space="preserve">in year</w:t>
      </w:r>
      <w:r>
        <w:t xml:space="preserve"> </w:t>
      </w:r>
      <m:oMath>
        <m:r>
          <m:t>t</m:t>
        </m:r>
      </m:oMath>
      <w:r>
        <w:t xml:space="preserve">.</w:t>
      </w:r>
      <w:r>
        <w:t xml:space="preserve"> </w:t>
      </w:r>
      <m:oMath>
        <m:sSub>
          <m:e>
            <m:r>
              <m:rPr>
                <m:sty m:val="p"/>
              </m:rPr>
              <m:t>Year</m:t>
            </m:r>
          </m:e>
          <m:sub>
            <m:r>
              <m:t>t</m:t>
            </m:r>
          </m:sub>
        </m:sSub>
      </m:oMath>
      <w:r>
        <w:t xml:space="preserve"> </w:t>
      </w:r>
      <w:r>
        <w:t xml:space="preserve">is the effect of year</w:t>
      </w:r>
      <w:r>
        <w:t xml:space="preserve"> </w:t>
      </w:r>
      <m:oMath>
        <m:r>
          <m:t>t</m:t>
        </m:r>
      </m:oMath>
      <w:r>
        <w:t xml:space="preserve">,</w:t>
      </w:r>
      <w:r>
        <w:t xml:space="preserve"> </w:t>
      </w:r>
      <m:oMath>
        <m:sSub>
          <m:e>
            <m:r>
              <m:rPr>
                <m:sty m:val="p"/>
              </m:rPr>
              <m:t>Reef</m:t>
            </m:r>
          </m:e>
          <m:sub>
            <m:r>
              <m:t>r</m:t>
            </m:r>
          </m:sub>
        </m:sSub>
      </m:oMath>
      <w:r>
        <w:t xml:space="preserve"> </w:t>
      </w:r>
      <w:r>
        <w:t xml:space="preserve">the effect of reef</w:t>
      </w:r>
      <w:r>
        <w:t xml:space="preserve"> </w:t>
      </w:r>
      <m:oMath>
        <m:r>
          <m:t>r</m:t>
        </m:r>
      </m:oMath>
      <w:r>
        <w:t xml:space="preserve">, and</w:t>
      </w:r>
      <w:r>
        <w:t xml:space="preserve"> </w:t>
      </w:r>
      <m:oMath>
        <m:sSub>
          <m:e>
            <m:r>
              <m:rPr>
                <m:sty m:val="p"/>
              </m:rPr>
              <m:t>Diver</m:t>
            </m:r>
          </m:e>
          <m:sub>
            <m:r>
              <m:t>d</m:t>
            </m:r>
          </m:sub>
        </m:sSub>
      </m:oMath>
      <w:r>
        <w:t xml:space="preserve"> </w:t>
      </w:r>
      <w:r>
        <w:t xml:space="preserve">the effect of diver</w:t>
      </w:r>
      <w:r>
        <w:t xml:space="preserve"> </w:t>
      </w:r>
      <m:oMath>
        <m:r>
          <m:t>d</m:t>
        </m:r>
      </m:oMath>
      <w:r>
        <w:t xml:space="preserve">, with similarly named interaction effects. For full details on the model setup and priors used, see the accompanying report</w:t>
      </w:r>
      <w:r>
        <w:t xml:space="preserve"> </w:t>
      </w:r>
      <w:r>
        <w:rPr>
          <w:rStyle w:val="VerbatimChar"/>
        </w:rPr>
        <w:t xml:space="preserve">cpue-standardisation.pdf</w:t>
      </w:r>
      <w:r>
        <w:t xml:space="preserve"> </w:t>
      </w:r>
      <w:r>
        <w:t xml:space="preserve">produced by</w:t>
      </w:r>
      <w:r>
        <w:t xml:space="preserve"> </w:t>
      </w:r>
      <w:hyperlink r:id="rId25">
        <w:r>
          <w:rPr>
            <w:rStyle w:val="Hyperlink"/>
          </w:rPr>
          <w:t xml:space="preserve">interadata</w:t>
        </w:r>
      </w:hyperlink>
      <w:r>
        <w:t xml:space="preserve"> </w:t>
      </w:r>
      <w:r>
        <w:t xml:space="preserve">as part of this project.</w:t>
      </w:r>
    </w:p>
    <w:p>
      <w:pPr>
        <w:pStyle w:val="Heading2"/>
      </w:pPr>
      <w:bookmarkStart w:id="26" w:name="model-comparison"/>
      <w:r>
        <w:t xml:space="preserve">Model Comparison</w:t>
      </w:r>
      <w:bookmarkEnd w:id="26"/>
    </w:p>
    <w:p>
      <w:pPr>
        <w:pStyle w:val="FirstParagraph"/>
      </w:pPr>
      <w:r>
        <w:t xml:space="preserve">Model comparison was made by comparing the leave one out information criterion, which is a Bayesian predictive criterion analogous to AIC (and can be understood similarly). The table below shows the LOOIC for each of the three models: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LOOIC</w:t>
            </w:r>
          </w:p>
        </w:tc>
        <w:tc>
          <w:tcPr>
            <w:tcBorders>
              <w:bottom w:val="single"/>
            </w:tcBorders>
            <w:vAlign w:val="bottom"/>
          </w:tcPr>
          <w:p>
            <w:pPr>
              <w:pStyle w:val="Compact"/>
              <w:jc w:val="right"/>
            </w:pPr>
            <w:r>
              <w:t xml:space="preserve">se(LOOIC)</w:t>
            </w:r>
          </w:p>
        </w:tc>
        <w:tc>
          <w:tcPr>
            <w:tcBorders>
              <w:bottom w:val="single"/>
            </w:tcBorders>
            <w:vAlign w:val="bottom"/>
          </w:tcPr>
          <w:p>
            <w:pPr>
              <w:pStyle w:val="Compact"/>
              <w:jc w:val="right"/>
            </w:pPr>
            <w:r>
              <w:t xml:space="preserve">ELPD</w:t>
            </w:r>
          </w:p>
        </w:tc>
        <w:tc>
          <w:tcPr>
            <w:tcBorders>
              <w:bottom w:val="single"/>
            </w:tcBorders>
            <w:vAlign w:val="bottom"/>
          </w:tcPr>
          <w:p>
            <w:pPr>
              <w:pStyle w:val="Compact"/>
              <w:jc w:val="right"/>
            </w:pPr>
            <w:r>
              <w:t xml:space="preserve">se(ELPD)</w:t>
            </w:r>
          </w:p>
        </w:tc>
        <w:tc>
          <w:tcPr>
            <w:tcBorders>
              <w:bottom w:val="single"/>
            </w:tcBorders>
            <w:vAlign w:val="bottom"/>
          </w:tcPr>
          <w:p>
            <w:pPr>
              <w:pStyle w:val="Compact"/>
              <w:jc w:val="right"/>
            </w:pPr>
            <w:r>
              <w:t xml:space="preserve">Eff. P</w:t>
            </w:r>
          </w:p>
        </w:tc>
        <w:tc>
          <w:tcPr>
            <w:tcBorders>
              <w:bottom w:val="single"/>
            </w:tcBorders>
            <w:vAlign w:val="bottom"/>
          </w:tcPr>
          <w:p>
            <w:pPr>
              <w:pStyle w:val="Compact"/>
              <w:jc w:val="right"/>
            </w:pPr>
            <w:r>
              <w:t xml:space="preserve">se(Eff. P)</w:t>
            </w:r>
          </w:p>
        </w:tc>
        <w:tc>
          <w:tcPr>
            <w:tcBorders>
              <w:bottom w:val="single"/>
            </w:tcBorders>
            <w:vAlign w:val="bottom"/>
          </w:tcPr>
          <w:p>
            <w:pPr>
              <w:pStyle w:val="Compact"/>
              <w:jc w:val="right"/>
            </w:pPr>
            <m:oMath>
              <m:r>
                <m:t>Δ</m:t>
              </m:r>
            </m:oMath>
            <w:r>
              <w:t xml:space="preserve">LOOIC</w:t>
            </w:r>
          </w:p>
        </w:tc>
        <w:tc>
          <w:tcPr>
            <w:tcBorders>
              <w:bottom w:val="single"/>
            </w:tcBorders>
            <w:vAlign w:val="bottom"/>
          </w:tcPr>
          <w:p>
            <w:pPr>
              <w:pStyle w:val="Compact"/>
              <w:jc w:val="right"/>
            </w:pPr>
            <w:r>
              <w:t xml:space="preserve">se(</w:t>
            </w:r>
            <m:oMath>
              <m:r>
                <m:t>Δ</m:t>
              </m:r>
            </m:oMath>
            <w:r>
              <w:t xml:space="preserve">LOOIC)</w:t>
            </w:r>
          </w:p>
        </w:tc>
      </w:tr>
      <w:tr>
        <w:tc>
          <w:p>
            <w:pPr>
              <w:pStyle w:val="Compact"/>
              <w:jc w:val="left"/>
            </w:pPr>
            <w:r>
              <w:t xml:space="preserve">Model 3</w:t>
            </w:r>
          </w:p>
        </w:tc>
        <w:tc>
          <w:p>
            <w:pPr>
              <w:pStyle w:val="Compact"/>
              <w:jc w:val="right"/>
            </w:pPr>
            <w:r>
              <w:t xml:space="preserve">17198</w:t>
            </w:r>
          </w:p>
        </w:tc>
        <w:tc>
          <w:p>
            <w:pPr>
              <w:pStyle w:val="Compact"/>
              <w:jc w:val="right"/>
            </w:pPr>
            <w:r>
              <w:t xml:space="preserve">85</w:t>
            </w:r>
          </w:p>
        </w:tc>
        <w:tc>
          <w:p>
            <w:pPr>
              <w:pStyle w:val="Compact"/>
              <w:jc w:val="right"/>
            </w:pPr>
            <w:r>
              <w:t xml:space="preserve">-8599</w:t>
            </w:r>
          </w:p>
        </w:tc>
        <w:tc>
          <w:p>
            <w:pPr>
              <w:pStyle w:val="Compact"/>
              <w:jc w:val="right"/>
            </w:pPr>
            <w:r>
              <w:t xml:space="preserve">42</w:t>
            </w:r>
          </w:p>
        </w:tc>
        <w:tc>
          <w:p>
            <w:pPr>
              <w:pStyle w:val="Compact"/>
              <w:jc w:val="right"/>
            </w:pPr>
            <w:r>
              <w:t xml:space="preserve">260</w:t>
            </w:r>
          </w:p>
        </w:tc>
        <w:tc>
          <w:p>
            <w:pPr>
              <w:pStyle w:val="Compact"/>
              <w:jc w:val="right"/>
            </w:pPr>
            <w:r>
              <w:t xml:space="preserve">13.7</w:t>
            </w:r>
          </w:p>
        </w:tc>
        <w:tc>
          <w:p>
            <w:pPr>
              <w:pStyle w:val="Compact"/>
            </w:pPr>
          </w:p>
        </w:tc>
        <w:tc>
          <w:p>
            <w:pPr>
              <w:pStyle w:val="Compact"/>
            </w:pPr>
          </w:p>
        </w:tc>
      </w:tr>
      <w:tr>
        <w:tc>
          <w:p>
            <w:pPr>
              <w:pStyle w:val="Compact"/>
              <w:jc w:val="left"/>
            </w:pPr>
            <w:r>
              <w:t xml:space="preserve">Model 2</w:t>
            </w:r>
          </w:p>
        </w:tc>
        <w:tc>
          <w:p>
            <w:pPr>
              <w:pStyle w:val="Compact"/>
              <w:jc w:val="right"/>
            </w:pPr>
            <w:r>
              <w:t xml:space="preserve">17441</w:t>
            </w:r>
          </w:p>
        </w:tc>
        <w:tc>
          <w:p>
            <w:pPr>
              <w:pStyle w:val="Compact"/>
              <w:jc w:val="right"/>
            </w:pPr>
            <w:r>
              <w:t xml:space="preserve">79</w:t>
            </w:r>
          </w:p>
        </w:tc>
        <w:tc>
          <w:p>
            <w:pPr>
              <w:pStyle w:val="Compact"/>
              <w:jc w:val="right"/>
            </w:pPr>
            <w:r>
              <w:t xml:space="preserve">-8720</w:t>
            </w:r>
          </w:p>
        </w:tc>
        <w:tc>
          <w:p>
            <w:pPr>
              <w:pStyle w:val="Compact"/>
              <w:jc w:val="right"/>
            </w:pPr>
            <w:r>
              <w:t xml:space="preserve">40</w:t>
            </w:r>
          </w:p>
        </w:tc>
        <w:tc>
          <w:p>
            <w:pPr>
              <w:pStyle w:val="Compact"/>
              <w:jc w:val="right"/>
            </w:pPr>
            <w:r>
              <w:t xml:space="preserve">91</w:t>
            </w:r>
          </w:p>
        </w:tc>
        <w:tc>
          <w:p>
            <w:pPr>
              <w:pStyle w:val="Compact"/>
              <w:jc w:val="right"/>
            </w:pPr>
            <w:r>
              <w:t xml:space="preserve">5.1</w:t>
            </w:r>
          </w:p>
        </w:tc>
        <w:tc>
          <w:p>
            <w:pPr>
              <w:pStyle w:val="Compact"/>
              <w:jc w:val="right"/>
            </w:pPr>
            <w:r>
              <w:t xml:space="preserve">243</w:t>
            </w:r>
          </w:p>
        </w:tc>
        <w:tc>
          <w:p>
            <w:pPr>
              <w:pStyle w:val="Compact"/>
              <w:jc w:val="right"/>
            </w:pPr>
            <w:r>
              <w:t xml:space="preserve">26.9</w:t>
            </w:r>
          </w:p>
        </w:tc>
      </w:tr>
      <w:tr>
        <w:tc>
          <w:p>
            <w:pPr>
              <w:pStyle w:val="Compact"/>
              <w:jc w:val="left"/>
            </w:pPr>
            <w:r>
              <w:t xml:space="preserve">Model 1</w:t>
            </w:r>
          </w:p>
        </w:tc>
        <w:tc>
          <w:p>
            <w:pPr>
              <w:pStyle w:val="Compact"/>
              <w:jc w:val="right"/>
            </w:pPr>
            <w:r>
              <w:t xml:space="preserve">17457</w:t>
            </w:r>
          </w:p>
        </w:tc>
        <w:tc>
          <w:p>
            <w:pPr>
              <w:pStyle w:val="Compact"/>
              <w:jc w:val="right"/>
            </w:pPr>
            <w:r>
              <w:t xml:space="preserve">79</w:t>
            </w:r>
          </w:p>
        </w:tc>
        <w:tc>
          <w:p>
            <w:pPr>
              <w:pStyle w:val="Compact"/>
              <w:jc w:val="right"/>
            </w:pPr>
            <w:r>
              <w:t xml:space="preserve">-8728</w:t>
            </w:r>
          </w:p>
        </w:tc>
        <w:tc>
          <w:p>
            <w:pPr>
              <w:pStyle w:val="Compact"/>
              <w:jc w:val="right"/>
            </w:pPr>
            <w:r>
              <w:t xml:space="preserve">39</w:t>
            </w:r>
          </w:p>
        </w:tc>
        <w:tc>
          <w:p>
            <w:pPr>
              <w:pStyle w:val="Compact"/>
              <w:jc w:val="right"/>
            </w:pPr>
            <w:r>
              <w:t xml:space="preserve">54</w:t>
            </w:r>
          </w:p>
        </w:tc>
        <w:tc>
          <w:p>
            <w:pPr>
              <w:pStyle w:val="Compact"/>
              <w:jc w:val="right"/>
            </w:pPr>
            <w:r>
              <w:t xml:space="preserve">3.3</w:t>
            </w:r>
          </w:p>
        </w:tc>
        <w:tc>
          <w:p>
            <w:pPr>
              <w:pStyle w:val="Compact"/>
              <w:jc w:val="right"/>
            </w:pPr>
            <w:r>
              <w:t xml:space="preserve">16</w:t>
            </w:r>
          </w:p>
        </w:tc>
        <w:tc>
          <w:p>
            <w:pPr>
              <w:pStyle w:val="Compact"/>
              <w:jc w:val="right"/>
            </w:pPr>
            <w:r>
              <w:t xml:space="preserve">9.2</w:t>
            </w:r>
          </w:p>
        </w:tc>
      </w:tr>
    </w:tbl>
    <w:p>
      <w:pPr>
        <w:pStyle w:val="BodyText"/>
      </w:pPr>
      <w:r>
        <w:t xml:space="preserve">The best model was then based on the difference in LOOIC between models, with the difference needing to be larger than twice the standard error of the difference. Based on this, the best model for Airport is Model 3, and we will draw inference for the standardised CPUE from this model.</w:t>
      </w:r>
    </w:p>
    <w:p>
      <w:pPr>
        <w:pStyle w:val="Heading2"/>
      </w:pPr>
      <w:bookmarkStart w:id="27" w:name="standardised-cpue"/>
      <w:r>
        <w:t xml:space="preserve">Standardised CPUE</w:t>
      </w:r>
      <w:bookmarkEnd w:id="27"/>
    </w:p>
    <w:p>
      <w:pPr>
        <w:pStyle w:val="FirstParagraph"/>
      </w:pPr>
      <w:r>
        <w:t xml:space="preserve">Standardised CPUE is estimated from the model by making predictions for catch, at an effort equal to 1. To standardise, we make predictions as if we had a new diver on a new reef, but fix the year in which we want predictions: this will have mean 0 for the diver and reef effect, but allow the uncertainty in these predictions to be estimated.</w:t>
      </w:r>
    </w:p>
    <w:p>
      <w:pPr>
        <w:pStyle w:val="BodyText"/>
      </w:pPr>
      <w:r>
        <w:t xml:space="preserve">The figure below shows the standardised CPUE per season (median prediction, shown as blue circles), along with 50% and 80% prediction intervals (shown as dark blue and light blue lines respectively). The observed geometric mean CPUE are shown as white circles. For the latest year (2016), the standardised CPUE is estimated to be 100.52 with 80% prediction interval (67.45, 149.29).</w:t>
      </w:r>
    </w:p>
    <w:p>
      <w:pPr>
        <w:pStyle w:val="BodyText"/>
      </w:pPr>
      <w:r>
        <w:drawing>
          <wp:inline>
            <wp:extent cx="5334000" cy="3294380"/>
            <wp:effectExtent b="0" l="0" r="0" t="0"/>
            <wp:docPr descr="" title="" id="1" name="Picture"/>
            <a:graphic>
              <a:graphicData uri="http://schemas.openxmlformats.org/drawingml/2006/picture">
                <pic:pic>
                  <pic:nvPicPr>
                    <pic:cNvPr descr="/Users/slane/interadata/analytical-work/2017-18/vfa-gorfine/figs/airport_pl_cpue.png" id="0" name="Picture"/>
                    <pic:cNvPicPr>
                      <a:picLocks noChangeArrowheads="1" noChangeAspect="1"/>
                    </pic:cNvPicPr>
                  </pic:nvPicPr>
                  <pic:blipFill>
                    <a:blip r:embed="rId28"/>
                    <a:stretch>
                      <a:fillRect/>
                    </a:stretch>
                  </pic:blipFill>
                  <pic:spPr bwMode="auto">
                    <a:xfrm>
                      <a:off x="0" y="0"/>
                      <a:ext cx="5334000" cy="3294380"/>
                    </a:xfrm>
                    <a:prstGeom prst="rect">
                      <a:avLst/>
                    </a:prstGeom>
                    <a:noFill/>
                    <a:ln w="9525">
                      <a:noFill/>
                      <a:headEnd/>
                      <a:tailEnd/>
                    </a:ln>
                  </pic:spPr>
                </pic:pic>
              </a:graphicData>
            </a:graphic>
          </wp:inline>
        </w:drawing>
      </w:r>
    </w:p>
    <w:p>
      <w:pPr>
        <w:pStyle w:val="Heading2"/>
      </w:pPr>
      <w:bookmarkStart w:id="29" w:name="model-diagnostics"/>
      <w:r>
        <w:t xml:space="preserve">Model Diagnostics</w:t>
      </w:r>
      <w:bookmarkEnd w:id="29"/>
    </w:p>
    <w:p>
      <w:pPr>
        <w:pStyle w:val="FirstParagraph"/>
      </w:pPr>
      <w:r>
        <w:t xml:space="preserve">In this section, some model diagnostics from the MCMC simulations are reproduced. Due to the complexity of the models, only basic diagnostics are produced. Extra figures are output as part of the model fitting procedure, and may be found in the</w:t>
      </w:r>
      <w:r>
        <w:t xml:space="preserve"> </w:t>
      </w:r>
      <w:r>
        <w:rPr>
          <w:rStyle w:val="VerbatimChar"/>
        </w:rPr>
        <w:t xml:space="preserve">figures</w:t>
      </w:r>
      <w:r>
        <w:t xml:space="preserve"> </w:t>
      </w:r>
      <w:r>
        <w:t xml:space="preserve">directory.</w:t>
      </w:r>
    </w:p>
    <w:p>
      <w:pPr>
        <w:pStyle w:val="BodyText"/>
      </w:pPr>
      <w:r>
        <w:t xml:space="preserve">Model fitting for this SMU had some issues with divergent iterations. The CPUE predictions should be ok, but if they look wildly out of place, consider a simple mean CPUE standardisation.</w:t>
      </w:r>
    </w:p>
    <w:p>
      <w:pPr>
        <w:pStyle w:val="BodyText"/>
      </w:pPr>
      <w:r>
        <w:t xml:space="preserve">The number of iterations in the MCMC simulation was sufficient for fitting this model.</w:t>
      </w:r>
    </w:p>
    <w:p>
      <w:pPr>
        <w:pStyle w:val="BodyText"/>
      </w:pPr>
      <w:r>
        <w:t xml:space="preserve">The figures below all show traceplots for various parameters in the model. Each of these traceplots should show a</w:t>
      </w:r>
      <w:r>
        <w:t xml:space="preserve"> </w:t>
      </w:r>
      <w:r>
        <w:t xml:space="preserve">‘</w:t>
      </w:r>
      <w:r>
        <w:t xml:space="preserve">scramble</w:t>
      </w:r>
      <w:r>
        <w:t xml:space="preserve">’</w:t>
      </w:r>
      <w:r>
        <w:t xml:space="preserve"> </w:t>
      </w:r>
      <w:r>
        <w:t xml:space="preserve">of lines. If any of the plots show diverging traces, it is likely the model predictions will be suspect.</w:t>
      </w:r>
    </w:p>
    <w:p>
      <w:pPr>
        <w:pStyle w:val="BodyText"/>
      </w:pPr>
      <w:r>
        <w:t xml:space="preserve">The figure below is a traceplot of the shape parameter (</w:t>
      </w:r>
      <m:oMath>
        <m:r>
          <m:t>α</m:t>
        </m:r>
      </m:oMath>
      <w:r>
        <w:t xml:space="preserve">) of the Gamma distribution.</w:t>
      </w:r>
    </w:p>
    <w:p>
      <w:pPr>
        <w:pStyle w:val="BodyText"/>
      </w:pPr>
      <w:r>
        <w:drawing>
          <wp:inline>
            <wp:extent cx="5334000" cy="3294380"/>
            <wp:effectExtent b="0" l="0" r="0" t="0"/>
            <wp:docPr descr="" title="" id="1" name="Picture"/>
            <a:graphic>
              <a:graphicData uri="http://schemas.openxmlformats.org/drawingml/2006/picture">
                <pic:pic>
                  <pic:nvPicPr>
                    <pic:cNvPr descr="/Users/slane/interadata/analytical-work/2017-18/vfa-gorfine/figs/airport_pl_alpha.png" id="0" name="Picture"/>
                    <pic:cNvPicPr>
                      <a:picLocks noChangeArrowheads="1" noChangeAspect="1"/>
                    </pic:cNvPicPr>
                  </pic:nvPicPr>
                  <pic:blipFill>
                    <a:blip r:embed="rId30"/>
                    <a:stretch>
                      <a:fillRect/>
                    </a:stretch>
                  </pic:blipFill>
                  <pic:spPr bwMode="auto">
                    <a:xfrm>
                      <a:off x="0" y="0"/>
                      <a:ext cx="5334000" cy="3294380"/>
                    </a:xfrm>
                    <a:prstGeom prst="rect">
                      <a:avLst/>
                    </a:prstGeom>
                    <a:noFill/>
                    <a:ln w="9525">
                      <a:noFill/>
                      <a:headEnd/>
                      <a:tailEnd/>
                    </a:ln>
                  </pic:spPr>
                </pic:pic>
              </a:graphicData>
            </a:graphic>
          </wp:inline>
        </w:drawing>
      </w:r>
    </w:p>
    <w:p>
      <w:pPr>
        <w:pStyle w:val="BodyText"/>
      </w:pPr>
      <w:r>
        <w:t xml:space="preserve">The figure below is a traceplot of the standard deviation of the modelled effect for the year of the catch.</w:t>
      </w:r>
    </w:p>
    <w:p>
      <w:pPr>
        <w:pStyle w:val="BodyText"/>
      </w:pPr>
      <w:r>
        <w:drawing>
          <wp:inline>
            <wp:extent cx="5334000" cy="3294380"/>
            <wp:effectExtent b="0" l="0" r="0" t="0"/>
            <wp:docPr descr="" title="" id="1" name="Picture"/>
            <a:graphic>
              <a:graphicData uri="http://schemas.openxmlformats.org/drawingml/2006/picture">
                <pic:pic>
                  <pic:nvPicPr>
                    <pic:cNvPr descr="/Users/slane/interadata/analytical-work/2017-18/vfa-gorfine/figs/airport_pl_year.png" id="0" name="Picture"/>
                    <pic:cNvPicPr>
                      <a:picLocks noChangeArrowheads="1" noChangeAspect="1"/>
                    </pic:cNvPicPr>
                  </pic:nvPicPr>
                  <pic:blipFill>
                    <a:blip r:embed="rId31"/>
                    <a:stretch>
                      <a:fillRect/>
                    </a:stretch>
                  </pic:blipFill>
                  <pic:spPr bwMode="auto">
                    <a:xfrm>
                      <a:off x="0" y="0"/>
                      <a:ext cx="5334000" cy="3294380"/>
                    </a:xfrm>
                    <a:prstGeom prst="rect">
                      <a:avLst/>
                    </a:prstGeom>
                    <a:noFill/>
                    <a:ln w="9525">
                      <a:noFill/>
                      <a:headEnd/>
                      <a:tailEnd/>
                    </a:ln>
                  </pic:spPr>
                </pic:pic>
              </a:graphicData>
            </a:graphic>
          </wp:inline>
        </w:drawing>
      </w:r>
    </w:p>
    <w:p>
      <w:pPr>
        <w:pStyle w:val="BodyText"/>
      </w:pPr>
      <w:r>
        <w:t xml:space="preserve">The figure below is a traceplot of the standard deviation of the modelled effect for the reef on which the catch was taken.</w:t>
      </w:r>
    </w:p>
    <w:p>
      <w:pPr>
        <w:pStyle w:val="BodyText"/>
      </w:pPr>
      <w:r>
        <w:drawing>
          <wp:inline>
            <wp:extent cx="5334000" cy="3294380"/>
            <wp:effectExtent b="0" l="0" r="0" t="0"/>
            <wp:docPr descr="" title="" id="1" name="Picture"/>
            <a:graphic>
              <a:graphicData uri="http://schemas.openxmlformats.org/drawingml/2006/picture">
                <pic:pic>
                  <pic:nvPicPr>
                    <pic:cNvPr descr="/Users/slane/interadata/analytical-work/2017-18/vfa-gorfine/figs/airport_pl_reef.png" id="0" name="Picture"/>
                    <pic:cNvPicPr>
                      <a:picLocks noChangeArrowheads="1" noChangeAspect="1"/>
                    </pic:cNvPicPr>
                  </pic:nvPicPr>
                  <pic:blipFill>
                    <a:blip r:embed="rId32"/>
                    <a:stretch>
                      <a:fillRect/>
                    </a:stretch>
                  </pic:blipFill>
                  <pic:spPr bwMode="auto">
                    <a:xfrm>
                      <a:off x="0" y="0"/>
                      <a:ext cx="5334000" cy="3294380"/>
                    </a:xfrm>
                    <a:prstGeom prst="rect">
                      <a:avLst/>
                    </a:prstGeom>
                    <a:noFill/>
                    <a:ln w="9525">
                      <a:noFill/>
                      <a:headEnd/>
                      <a:tailEnd/>
                    </a:ln>
                  </pic:spPr>
                </pic:pic>
              </a:graphicData>
            </a:graphic>
          </wp:inline>
        </w:drawing>
      </w:r>
    </w:p>
    <w:p>
      <w:pPr>
        <w:pStyle w:val="BodyText"/>
      </w:pPr>
      <w:r>
        <w:t xml:space="preserve">The figure below is a traceplot of the standard deviation of the modelled effect for the diver that made the catch.</w:t>
      </w:r>
    </w:p>
    <w:p>
      <w:pPr>
        <w:pStyle w:val="BodyText"/>
      </w:pPr>
      <w:r>
        <w:drawing>
          <wp:inline>
            <wp:extent cx="5334000" cy="3294380"/>
            <wp:effectExtent b="0" l="0" r="0" t="0"/>
            <wp:docPr descr="" title="" id="1" name="Picture"/>
            <a:graphic>
              <a:graphicData uri="http://schemas.openxmlformats.org/drawingml/2006/picture">
                <pic:pic>
                  <pic:nvPicPr>
                    <pic:cNvPr descr="/Users/slane/interadata/analytical-work/2017-18/vfa-gorfine/figs/airport_pl_diver.png" id="0" name="Picture"/>
                    <pic:cNvPicPr>
                      <a:picLocks noChangeArrowheads="1" noChangeAspect="1"/>
                    </pic:cNvPicPr>
                  </pic:nvPicPr>
                  <pic:blipFill>
                    <a:blip r:embed="rId33"/>
                    <a:stretch>
                      <a:fillRect/>
                    </a:stretch>
                  </pic:blipFill>
                  <pic:spPr bwMode="auto">
                    <a:xfrm>
                      <a:off x="0" y="0"/>
                      <a:ext cx="5334000" cy="3294380"/>
                    </a:xfrm>
                    <a:prstGeom prst="rect">
                      <a:avLst/>
                    </a:prstGeom>
                    <a:noFill/>
                    <a:ln w="9525">
                      <a:noFill/>
                      <a:headEnd/>
                      <a:tailEnd/>
                    </a:ln>
                  </pic:spPr>
                </pic:pic>
              </a:graphicData>
            </a:graphic>
          </wp:inline>
        </w:drawing>
      </w:r>
    </w:p>
    <w:p>
      <w:pPr>
        <w:pStyle w:val="Compact"/>
      </w:pPr>
      <w:r>
        <w:t xml:space="preserve"> </w:t>
      </w:r>
      <w:r>
        <w:t xml:space="preserve">This report template was produced for the Victorian Fisheries Authority by</w:t>
      </w:r>
      <w:r>
        <w:t xml:space="preserve"> </w:t>
      </w:r>
      <w:hyperlink r:id="rId25">
        <w:r>
          <w:rPr>
            <w:rStyle w:val="Hyperlink"/>
          </w:rPr>
          <w:t xml:space="preserve">interadata</w:t>
        </w:r>
      </w:hyperlink>
      <w:r>
        <w:t xml:space="preserve">.</w:t>
      </w: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6f27d9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303030"/>
    </w:pPr>
  </w:style>
  <w:style w:type="character" w:customStyle="1" w:styleId="KeywordTok">
    <w:name w:val="KeywordTok"/>
    <w:basedOn w:val="VerbatimChar"/>
    <w:rPr>
      <w:color w:val="f0dfaf"/>
      <w:shd w:val="clear" w:fill="303030"/>
    </w:rPr>
  </w:style>
  <w:style w:type="character" w:customStyle="1" w:styleId="DataTypeTok">
    <w:name w:val="DataTypeTok"/>
    <w:basedOn w:val="VerbatimChar"/>
    <w:rPr>
      <w:color w:val="dfdfbf"/>
      <w:shd w:val="clear" w:fill="303030"/>
    </w:rPr>
  </w:style>
  <w:style w:type="character" w:customStyle="1" w:styleId="DecValTok">
    <w:name w:val="DecValTok"/>
    <w:basedOn w:val="VerbatimChar"/>
    <w:rPr>
      <w:color w:val="dcdccc"/>
      <w:shd w:val="clear" w:fill="303030"/>
    </w:rPr>
  </w:style>
  <w:style w:type="character" w:customStyle="1" w:styleId="BaseNTok">
    <w:name w:val="BaseNTok"/>
    <w:basedOn w:val="VerbatimChar"/>
    <w:rPr>
      <w:color w:val="dca3a3"/>
      <w:shd w:val="clear" w:fill="303030"/>
    </w:rPr>
  </w:style>
  <w:style w:type="character" w:customStyle="1" w:styleId="FloatTok">
    <w:name w:val="FloatTok"/>
    <w:basedOn w:val="VerbatimChar"/>
    <w:rPr>
      <w:color w:val="c0bed1"/>
      <w:shd w:val="clear" w:fill="303030"/>
    </w:rPr>
  </w:style>
  <w:style w:type="character" w:customStyle="1" w:styleId="ConstantTok">
    <w:name w:val="ConstantTok"/>
    <w:basedOn w:val="VerbatimChar"/>
    <w:rPr>
      <w:color w:val="dca3a3"/>
      <w:shd w:val="clear" w:fill="303030"/>
      <w:b/>
    </w:rPr>
  </w:style>
  <w:style w:type="character" w:customStyle="1" w:styleId="CharTok">
    <w:name w:val="CharTok"/>
    <w:basedOn w:val="VerbatimChar"/>
    <w:rPr>
      <w:color w:val="dca3a3"/>
      <w:shd w:val="clear" w:fill="303030"/>
    </w:rPr>
  </w:style>
  <w:style w:type="character" w:customStyle="1" w:styleId="SpecialCharTok">
    <w:name w:val="SpecialCharTok"/>
    <w:basedOn w:val="VerbatimChar"/>
    <w:rPr>
      <w:color w:val="dca3a3"/>
      <w:shd w:val="clear" w:fill="303030"/>
    </w:rPr>
  </w:style>
  <w:style w:type="character" w:customStyle="1" w:styleId="StringTok">
    <w:name w:val="StringTok"/>
    <w:basedOn w:val="VerbatimChar"/>
    <w:rPr>
      <w:color w:val="cc9393"/>
      <w:shd w:val="clear" w:fill="303030"/>
    </w:rPr>
  </w:style>
  <w:style w:type="character" w:customStyle="1" w:styleId="VerbatimStringTok">
    <w:name w:val="VerbatimStringTok"/>
    <w:basedOn w:val="VerbatimChar"/>
    <w:rPr>
      <w:color w:val="cc9393"/>
      <w:shd w:val="clear" w:fill="303030"/>
    </w:rPr>
  </w:style>
  <w:style w:type="character" w:customStyle="1" w:styleId="SpecialStringTok">
    <w:name w:val="SpecialStringTok"/>
    <w:basedOn w:val="VerbatimChar"/>
    <w:rPr>
      <w:color w:val="cc9393"/>
      <w:shd w:val="clear" w:fill="303030"/>
    </w:rPr>
  </w:style>
  <w:style w:type="character" w:customStyle="1" w:styleId="ImportTok">
    <w:name w:val="ImportTok"/>
    <w:basedOn w:val="VerbatimChar"/>
    <w:rPr>
      <w:color w:val="cccccc"/>
      <w:shd w:val="clear" w:fill="303030"/>
    </w:rPr>
  </w:style>
  <w:style w:type="character" w:customStyle="1" w:styleId="CommentTok">
    <w:name w:val="CommentTok"/>
    <w:basedOn w:val="VerbatimChar"/>
    <w:rPr>
      <w:color w:val="7f9f7f"/>
      <w:shd w:val="clear" w:fill="303030"/>
    </w:rPr>
  </w:style>
  <w:style w:type="character" w:customStyle="1" w:styleId="DocumentationTok">
    <w:name w:val="DocumentationTok"/>
    <w:basedOn w:val="VerbatimChar"/>
    <w:rPr>
      <w:color w:val="7f9f7f"/>
      <w:shd w:val="clear" w:fill="303030"/>
    </w:rPr>
  </w:style>
  <w:style w:type="character" w:customStyle="1" w:styleId="AnnotationTok">
    <w:name w:val="AnnotationTok"/>
    <w:basedOn w:val="VerbatimChar"/>
    <w:rPr>
      <w:color w:val="7f9f7f"/>
      <w:shd w:val="clear" w:fill="303030"/>
      <w:b/>
    </w:rPr>
  </w:style>
  <w:style w:type="character" w:customStyle="1" w:styleId="CommentVarTok">
    <w:name w:val="CommentVarTok"/>
    <w:basedOn w:val="VerbatimChar"/>
    <w:rPr>
      <w:color w:val="7f9f7f"/>
      <w:shd w:val="clear" w:fill="303030"/>
      <w:b/>
    </w:rPr>
  </w:style>
  <w:style w:type="character" w:customStyle="1" w:styleId="OtherTok">
    <w:name w:val="OtherTok"/>
    <w:basedOn w:val="VerbatimChar"/>
    <w:rPr>
      <w:color w:val="efef8f"/>
      <w:shd w:val="clear" w:fill="303030"/>
    </w:rPr>
  </w:style>
  <w:style w:type="character" w:customStyle="1" w:styleId="FunctionTok">
    <w:name w:val="FunctionTok"/>
    <w:basedOn w:val="VerbatimChar"/>
    <w:rPr>
      <w:color w:val="efef8f"/>
      <w:shd w:val="clear" w:fill="303030"/>
    </w:rPr>
  </w:style>
  <w:style w:type="character" w:customStyle="1" w:styleId="VariableTok">
    <w:name w:val="VariableTok"/>
    <w:basedOn w:val="VerbatimChar"/>
    <w:rPr>
      <w:color w:val="cccccc"/>
      <w:shd w:val="clear" w:fill="303030"/>
    </w:rPr>
  </w:style>
  <w:style w:type="character" w:customStyle="1" w:styleId="ControlFlowTok">
    <w:name w:val="ControlFlowTok"/>
    <w:basedOn w:val="VerbatimChar"/>
    <w:rPr>
      <w:color w:val="f0dfaf"/>
      <w:shd w:val="clear" w:fill="303030"/>
    </w:rPr>
  </w:style>
  <w:style w:type="character" w:customStyle="1" w:styleId="OperatorTok">
    <w:name w:val="OperatorTok"/>
    <w:basedOn w:val="VerbatimChar"/>
    <w:rPr>
      <w:color w:val="f0efd0"/>
      <w:shd w:val="clear" w:fill="303030"/>
    </w:rPr>
  </w:style>
  <w:style w:type="character" w:customStyle="1" w:styleId="BuiltInTok">
    <w:name w:val="BuiltInTok"/>
    <w:basedOn w:val="VerbatimChar"/>
    <w:rPr>
      <w:color w:val="cccccc"/>
      <w:shd w:val="clear" w:fill="303030"/>
    </w:rPr>
  </w:style>
  <w:style w:type="character" w:customStyle="1" w:styleId="ExtensionTok">
    <w:name w:val="ExtensionTok"/>
    <w:basedOn w:val="VerbatimChar"/>
    <w:rPr>
      <w:color w:val="cccccc"/>
      <w:shd w:val="clear" w:fill="303030"/>
    </w:rPr>
  </w:style>
  <w:style w:type="character" w:customStyle="1" w:styleId="PreprocessorTok">
    <w:name w:val="PreprocessorTok"/>
    <w:basedOn w:val="VerbatimChar"/>
    <w:rPr>
      <w:color w:val="ffcfaf"/>
      <w:shd w:val="clear" w:fill="303030"/>
      <w:b/>
    </w:rPr>
  </w:style>
  <w:style w:type="character" w:customStyle="1" w:styleId="AttributeTok">
    <w:name w:val="AttributeTok"/>
    <w:basedOn w:val="VerbatimChar"/>
    <w:rPr>
      <w:color w:val="cccccc"/>
      <w:shd w:val="clear" w:fill="303030"/>
    </w:rPr>
  </w:style>
  <w:style w:type="character" w:customStyle="1" w:styleId="RegionMarkerTok">
    <w:name w:val="RegionMarkerTok"/>
    <w:basedOn w:val="VerbatimChar"/>
    <w:rPr>
      <w:color w:val="cccccc"/>
      <w:shd w:val="clear" w:fill="303030"/>
    </w:rPr>
  </w:style>
  <w:style w:type="character" w:customStyle="1" w:styleId="InformationTok">
    <w:name w:val="InformationTok"/>
    <w:basedOn w:val="VerbatimChar"/>
    <w:rPr>
      <w:color w:val="7f9f7f"/>
      <w:shd w:val="clear" w:fill="303030"/>
      <w:b/>
    </w:rPr>
  </w:style>
  <w:style w:type="character" w:customStyle="1" w:styleId="WarningTok">
    <w:name w:val="WarningTok"/>
    <w:basedOn w:val="VerbatimChar"/>
    <w:rPr>
      <w:color w:val="7f9f7f"/>
      <w:shd w:val="clear" w:fill="303030"/>
      <w:b/>
    </w:rPr>
  </w:style>
  <w:style w:type="character" w:customStyle="1" w:styleId="AlertTok">
    <w:name w:val="AlertTok"/>
    <w:basedOn w:val="VerbatimChar"/>
    <w:rPr>
      <w:color w:val="ffcfaf"/>
      <w:shd w:val="clear" w:fill="303030"/>
    </w:rPr>
  </w:style>
  <w:style w:type="character" w:customStyle="1" w:styleId="ErrorTok">
    <w:name w:val="ErrorTok"/>
    <w:basedOn w:val="VerbatimChar"/>
    <w:rPr>
      <w:color w:val="c3bf9f"/>
      <w:shd w:val="clear" w:fill="303030"/>
    </w:rPr>
  </w:style>
  <w:style w:type="character" w:customStyle="1" w:styleId="NormalTok">
    <w:name w:val="NormalTok"/>
    <w:basedOn w:val="VerbatimChar"/>
    <w:rPr>
      <w:color w:val="cccccc"/>
      <w:shd w:val="clear" w:fill="303030"/>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hyperlink" Id="rId25" Target="https://www.interadata.io/" TargetMode="External" /></Relationships>
</file>

<file path=word/_rels/footnotes.xml.rels><?xml version="1.0" encoding="UTF-8"?>
<Relationships xmlns="http://schemas.openxmlformats.org/package/2006/relationships"><Relationship Type="http://schemas.openxmlformats.org/officeDocument/2006/relationships/hyperlink" Id="rId25" Target="https://www.interadata.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Catch per Unit Effort Standardisation</dc:title>
  <dc:creator/>
  <cp:keywords/>
  <dcterms:created xsi:type="dcterms:W3CDTF">2018-04-08T03:50:46Z</dcterms:created>
  <dcterms:modified xsi:type="dcterms:W3CDTF">2018-04-08T03:50:46Z</dcterms:modified>
</cp:coreProperties>
</file>