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OCTOBER 2026   •   PRE-DEFENSE DELIVERABLE</w:t>
      </w:r>
    </w:p>
    <w:p>
      <w:pPr>
        <w:pStyle w:val="Title"/>
      </w:pPr>
      <w:r>
        <w:t>ANTHEIA</w:t>
      </w:r>
    </w:p>
    <w:p>
      <w:r>
        <w:rPr>
          <w:b/>
          <w:color w:val="653E97"/>
          <w:sz w:val="36"/>
        </w:rPr>
        <w:t>Architecture &amp; Diagrams</w:t>
      </w:r>
    </w:p>
    <w:p>
      <w:pPr>
        <w:pStyle w:val="Subtitle"/>
      </w:pPr>
      <w:r>
        <w:t>Development of an Intelligent Recommendation System for Personal Styling Based on Image Analysis and User Preferences</w:t>
      </w:r>
    </w:p>
    <w:p>
      <w:pPr>
        <w:pStyle w:val="SmallNote"/>
      </w:pPr>
      <w:r>
        <w:t>System Context • UML Use Case • Component Architecture (draft)</w:t>
      </w:r>
    </w:p>
    <w:p>
      <w:pPr>
        <w:pStyle w:val="SmallNote"/>
      </w:pPr>
      <w:r>
        <w:t>Document status: Proposed requirements and architecture — to be reviewed by the supervisor. No implementation, test pass, model quality, or live retailer integration is claimed.</w:t>
      </w:r>
    </w:p>
    <w:p>
      <w:pPr>
        <w:pStyle w:val="SmallNote"/>
      </w:pPr>
      <w:r>
        <w:t>Prepared for: First pre-defense, 24 October 2026</w:t>
      </w:r>
    </w:p>
    <w:p>
      <w:pPr>
        <w:pStyle w:val="SmallNote"/>
      </w:pPr>
      <w:r>
        <w:t>Team members / supervisor: [insert verified names]</w:t>
      </w:r>
    </w:p>
    <w:p>
      <w:pPr>
        <w:pStyle w:val="SmallNote"/>
      </w:pPr>
      <w:r>
        <w:t>Brand concept: personal color guidance, explicit style preferences, complete outfits and multi-retailer shopping comparisons.</w:t>
      </w:r>
    </w:p>
    <w:p>
      <w:pPr>
        <w:pStyle w:val="Heading1"/>
      </w:pPr>
      <w:r>
        <w:t>Executive architecture summary</w:t>
      </w:r>
    </w:p>
    <w:p>
      <w:r>
        <w:t>The proposed ANTHEIA system is a responsive web recommendation platform with separable photo-based palette guidance, explicit user-preference management, catalog retrieval, outfit compatibility/ranking, hard-constraint verification and explainable retailer-linked results. A native app may be added later using the same API; payment and merchant checkout remain outside the system boundary. The architecture is logical, technology-agnostic and NOT a claim that any component is deployed.</w:t>
      </w:r>
    </w:p>
    <w:p>
      <w:pPr>
        <w:pStyle w:val="Heading1"/>
      </w:pPr>
      <w:r>
        <w:t>1. Architecture goals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11160"/>
      </w:tblGrid>
      <w:tr>
        <w:trPr>
          <w:tblHeader w:val="true"/>
          <w:cantSplit/>
        </w:trPr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8"/>
              </w:rPr>
              <w:t>Implication in the architecture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Photo-free by default</w:t>
            </w:r>
          </w:p>
        </w:tc>
        <w:tc>
          <w:tcPr>
            <w:tcW w:type="dxa" w:w="11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User preferences + request are sufficient; photo processing is a parallel, explicitly consented branch [S1].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Separation of concerns</w:t>
            </w:r>
          </w:p>
        </w:tc>
        <w:tc>
          <w:tcPr>
            <w:tcW w:type="dxa" w:w="1116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Retrieval, compatibility, user ranking, constraint validation and palette estimation are independent evaluation units [S3].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Retailer data provenance</w:t>
            </w:r>
          </w:p>
        </w:tc>
        <w:tc>
          <w:tcPr>
            <w:tcW w:type="dxa" w:w="11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Each integration uses permission-checked adapter(s) plus a normalized versioned snapshot [S2][S3].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Transparent commerce</w:t>
            </w:r>
          </w:p>
        </w:tc>
        <w:tc>
          <w:tcPr>
            <w:tcW w:type="dxa" w:w="1116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Offers carry retailer/source/time, size, currency and outbound link; no checkout inside ANTHEIA [S1][S2].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Privacy boundaries</w:t>
            </w:r>
          </w:p>
        </w:tc>
        <w:tc>
          <w:tcPr>
            <w:tcW w:type="dxa" w:w="11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Raw photos live in temporary restricted storage and are not passed to external retailers [S1].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8"/>
              </w:rPr>
              <w:t>Research reproducibility</w:t>
            </w:r>
          </w:p>
        </w:tc>
        <w:tc>
          <w:tcPr>
            <w:tcW w:type="dxa" w:w="1116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8"/>
              </w:rPr>
              <w:t>Ablation tests use fixed inputs and the same data snapshot, recording versions and hard-constraint pass rates [S3].</w:t>
            </w:r>
          </w:p>
        </w:tc>
      </w:tr>
    </w:tbl>
    <w:p>
      <w:pPr>
        <w:spacing w:after="0"/>
      </w:pPr>
    </w:p>
    <w:p>
      <w:pPr>
        <w:pStyle w:val="Heading2"/>
      </w:pPr>
      <w:r>
        <w:t>2. System Context Diagram — boundary and external actors</w:t>
      </w:r>
    </w:p>
    <w:p>
      <w:r>
        <w:drawing>
          <wp:inline xmlns:a="http://schemas.openxmlformats.org/drawingml/2006/main" xmlns:pic="http://schemas.openxmlformats.org/drawingml/2006/picture">
            <wp:extent cx="6217920" cy="3851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Figure source: diagrams/01_system_context.drawio (fully editable in diagrams.net); diagrams/01_system_context.svg (scalable).</w:t>
      </w:r>
    </w:p>
    <w:p>
      <w:r>
        <w:t>The shopper supplies a profile, optional portrait and shopping constraints and receives outfit comparisons; an administrator manages permitted catalog records. Authorized retailer sources provide product metadata. A merchant website receives an outbound navigation; ANTHEIA never takes payment or places orders. Dotted routes in the drawing represent external shopper checkout or optional paths, not ANTHEIA-managed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9576"/>
      </w:tblGrid>
      <w:tr>
        <w:trPr>
          <w:tblHeader w:val="true"/>
          <w:cantSplit/>
        </w:trPr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Boundary / relationship</w:t>
            </w:r>
          </w:p>
        </w:tc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Meaning for requirements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Shopper → ANTHEIA</w:t>
            </w:r>
          </w:p>
        </w:tc>
        <w:tc>
          <w:tcPr>
            <w:tcW w:type="dxa" w:w="95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FR-01–FR-12, FR-19–FR-28: voluntary photo, requests and editable filters.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Administrator → ANTHEIA</w:t>
            </w:r>
          </w:p>
        </w:tc>
        <w:tc>
          <w:tcPr>
            <w:tcW w:type="dxa" w:w="95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FR-29/30: restricted import and data provenance checks.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Catalog sources → ANTHEIA</w:t>
            </w:r>
          </w:p>
        </w:tc>
        <w:tc>
          <w:tcPr>
            <w:tcW w:type="dxa" w:w="95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FR-13–FR-17: only permitted feeds/approved snapshots, with freshness labels.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ANTHEIA → retailer page</w:t>
            </w:r>
          </w:p>
        </w:tc>
        <w:tc>
          <w:tcPr>
            <w:tcW w:type="dxa" w:w="95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FR-26/33: outbound links; merchant remains responsible for checkout and inventory.</w:t>
            </w:r>
          </w:p>
        </w:tc>
      </w:tr>
    </w:tbl>
    <w:p>
      <w:pPr>
        <w:spacing w:after="0"/>
      </w:pPr>
    </w:p>
    <w:p>
      <w:pPr>
        <w:pStyle w:val="Heading2"/>
      </w:pPr>
      <w:r>
        <w:t>3. UML Use Case Diagram — user goals and administrator actions</w:t>
      </w:r>
    </w:p>
    <w:p>
      <w:r>
        <w:drawing>
          <wp:inline xmlns:a="http://schemas.openxmlformats.org/drawingml/2006/main" xmlns:pic="http://schemas.openxmlformats.org/drawingml/2006/picture">
            <wp:extent cx="5303520" cy="5655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5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Figure source: diagrams/02_use_case.drawio (fully editable in diagrams.net); diagrams/02_use_case.svg (scalable).</w:t>
      </w:r>
    </w:p>
    <w:p>
      <w:r>
        <w:t>An association shows an actor participating in a use case. The two «include» relations show mandatory filtering and ranking within UC-06. UC-03 is optional; its dashed consent dependency expresses a precondition, not a promise of photo-based accuracy. Registered-shopper-specific persistence is a Should requirement. All use cases correspond to proposed functionality.</w:t>
      </w:r>
    </w:p>
    <w:p>
      <w:pPr>
        <w:pStyle w:val="Heading2"/>
      </w:pPr>
      <w:r>
        <w:t>3.1 Use case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3168"/>
        <w:gridCol w:w="2376"/>
        <w:gridCol w:w="6653"/>
        <w:gridCol w:w="1152"/>
      </w:tblGrid>
      <w:tr>
        <w:trPr>
          <w:tblHeader w:val="true"/>
          <w:cantSplit/>
        </w:trPr>
        <w:tc>
          <w:tcPr>
            <w:tcW w:type="dxa" w:w="2960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960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960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2960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Success boundary</w:t>
            </w:r>
          </w:p>
        </w:tc>
        <w:tc>
          <w:tcPr>
            <w:tcW w:type="dxa" w:w="2960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Req.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Create / edit explicit style profile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Manual style, color, dislikes, size and region can be edited at any time; no photo required.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FR-01, FR-03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UC-02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Manage photograph consent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Consent is opt-in and granular before image handling; refusal preserves manual flow.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FR-05, FR-31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UC-03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Upload photograph (optional)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Consenting visitor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Validate image; temporary processing; recover gracefully if poor quality.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FR-05–FR-07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UC-04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Review / correct palette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Uncertainty visible; user selects or modifies palette; does not supersede explicit dislikes.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FR-07–FR-08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Enter outfit request and budget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Structured fields or parsed text; explicit budget currency and size/occasion.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FR-04, FR-11–FR-12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UC-06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Get complete outfit suggestions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Retrieve candidates, apply hard filters, rank compatible outfits and explain selections.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FR-19–FR-25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UC-07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Compare offers and totals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Retailer prices, variant availability, item sum and provenance are shown.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FR-16, FR-22–FR-26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UC-08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Open retailer product page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User navigates to recorded store URL; ANTHEIA does not process a purchase.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FR-26, FR-33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UC-09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Save or rate outfit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Registered shopper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Stored preference or explicit feedback can be reviewed/removed; learning not assumed.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FR-10, FR-27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UC-10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Delete uploaded photograph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Visitor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Delete active photo and derived file artefacts; confirm outcome.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FR-09, FR-31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UC-11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Import/validate product data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Admin + approved source</w:t>
            </w:r>
          </w:p>
        </w:tc>
        <w:tc>
          <w:tcPr>
            <w:tcW w:type="dxa" w:w="6653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Adapter validates normalized records and rejects malformed source items.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FR-13–FR-15, FR-29–FR-30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UC-12</w:t>
            </w:r>
          </w:p>
        </w:tc>
        <w:tc>
          <w:tcPr>
            <w:tcW w:type="dxa" w:w="316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Review source and freshness</w:t>
            </w:r>
          </w:p>
        </w:tc>
        <w:tc>
          <w:tcPr>
            <w:tcW w:type="dxa" w:w="237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Admin</w:t>
            </w:r>
          </w:p>
        </w:tc>
        <w:tc>
          <w:tcPr>
            <w:tcW w:type="dxa" w:w="6653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Inspect source permissions, timestamps, invalid URLs and review logs.</w:t>
            </w:r>
          </w:p>
        </w:tc>
        <w:tc>
          <w:tcPr>
            <w:tcW w:type="dxa" w:w="115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FR-14, FR-16, FR-29–FR-30</w:t>
            </w:r>
          </w:p>
        </w:tc>
      </w:tr>
    </w:tbl>
    <w:p>
      <w:pPr>
        <w:spacing w:after="0"/>
      </w:pPr>
    </w:p>
    <w:p>
      <w:pPr>
        <w:pStyle w:val="Heading2"/>
      </w:pPr>
      <w:r>
        <w:t>4. Component Diagram (draft) — responsibility boundaries</w:t>
      </w:r>
    </w:p>
    <w:p>
      <w:r>
        <w:drawing>
          <wp:inline xmlns:a="http://schemas.openxmlformats.org/drawingml/2006/main" xmlns:pic="http://schemas.openxmlformats.org/drawingml/2006/picture">
            <wp:extent cx="9006840" cy="5588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5588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Figure source: diagrams/03_component.drawio (fully editable in diagrams.net); diagrams/03_component.svg (scalable).</w:t>
      </w:r>
    </w:p>
    <w:p>
      <w:r>
        <w:t>Solid connectors depict planned service, storage or retailer-link interaction; dashed connectors denote optional photo signals or a future native client. The catalog adapter is logically independent from the recommender. The budget/offer validator operates after candidate composition and before display. Actual deployment may merge modules without changing their responsibilities.</w:t>
      </w:r>
    </w:p>
    <w:p>
      <w:pPr>
        <w:pStyle w:val="Heading2"/>
      </w:pPr>
      <w:r>
        <w:t>4.1 Responsibility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672"/>
        <w:gridCol w:w="6048"/>
        <w:gridCol w:w="1440"/>
      </w:tblGrid>
      <w:tr>
        <w:trPr>
          <w:tblHeader w:val="true"/>
          <w:cantSplit/>
        </w:trPr>
        <w:tc>
          <w:tcPr>
            <w:tcW w:type="dxa" w:w="36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6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36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Outputs / obligations</w:t>
            </w:r>
          </w:p>
        </w:tc>
        <w:tc>
          <w:tcPr>
            <w:tcW w:type="dxa" w:w="36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5"/>
              </w:rPr>
              <w:t>Related req.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Web UI / BFF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Session or guest request, filters, optional photo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Validates input and consent; renders reasons, prices, errors and outbound offers.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FR-01–FR-06; FR-11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Profile &amp; Consent</w:t>
            </w:r>
          </w:p>
        </w:tc>
        <w:tc>
          <w:tcPr>
            <w:tcW w:type="dxa" w:w="367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Explicit color/style/size, privacy actions</w:t>
            </w:r>
          </w:p>
        </w:tc>
        <w:tc>
          <w:tcPr>
            <w:tcW w:type="dxa" w:w="604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Prioritized preference profile; auditable consent/deletion state.</w:t>
            </w:r>
          </w:p>
        </w:tc>
        <w:tc>
          <w:tcPr>
            <w:tcW w:type="dxa" w:w="144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FR-03/05/08/09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Photo processor + palette estimator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Consented photo, quality signals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Tentative palette and uncertainty; does not identify person or guarantee classification.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FR-06–FR-08/28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Request interpreter</w:t>
            </w:r>
          </w:p>
        </w:tc>
        <w:tc>
          <w:tcPr>
            <w:tcW w:type="dxa" w:w="367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Free-text and structured occasion/size/budget</w:t>
            </w:r>
          </w:p>
        </w:tc>
        <w:tc>
          <w:tcPr>
            <w:tcW w:type="dxa" w:w="604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Editable normalized filter object; reject invalid currency or negative budgets.</w:t>
            </w:r>
          </w:p>
        </w:tc>
        <w:tc>
          <w:tcPr>
            <w:tcW w:type="dxa" w:w="144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FR-04/11/12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Catalog adapter / normalized store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Approved source feed / versioned snapshot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Canonical offer, variant, price, currency, retailer, link and timestamp.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FR-13–FR-17/29/30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Candidate retrieval</w:t>
            </w:r>
          </w:p>
        </w:tc>
        <w:tc>
          <w:tcPr>
            <w:tcW w:type="dxa" w:w="367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Filter object, normalized catalog</w:t>
            </w:r>
          </w:p>
        </w:tc>
        <w:tc>
          <w:tcPr>
            <w:tcW w:type="dxa" w:w="604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Eligible candidate subsets with missing-data provenance.</w:t>
            </w:r>
          </w:p>
        </w:tc>
        <w:tc>
          <w:tcPr>
            <w:tcW w:type="dxa" w:w="144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FR-12/18/20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Outfit composition &amp; ranking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Candidate subset + profile + optional palette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Compatible outfit combinations and attributable preference scores.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FR-19–FR-21/25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Budget / offer validator</w:t>
            </w:r>
          </w:p>
        </w:tc>
        <w:tc>
          <w:tcPr>
            <w:tcW w:type="dxa" w:w="367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Outfits, per-variant offers, currency, cap</w:t>
            </w:r>
          </w:p>
        </w:tc>
        <w:tc>
          <w:tcPr>
            <w:tcW w:type="dxa" w:w="604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Subtotal, unknown shipping notices, size/stock/price compliance.</w:t>
            </w:r>
          </w:p>
        </w:tc>
        <w:tc>
          <w:tcPr>
            <w:tcW w:type="dxa" w:w="144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FR-21–FR-24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Recommendation response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Validated ranked outfits + store URLs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Explanations, alternatives, timestamps and safe retailer redirects.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FR-25–FR-26/33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5"/>
              </w:rPr>
              <w:t>App DB / temp store / logs</w:t>
            </w:r>
          </w:p>
        </w:tc>
        <w:tc>
          <w:tcPr>
            <w:tcW w:type="dxa" w:w="367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User records / temporary bytes / event IDs</w:t>
            </w:r>
          </w:p>
        </w:tc>
        <w:tc>
          <w:tcPr>
            <w:tcW w:type="dxa" w:w="6048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Protect storage, version experiments, implement deletion, exclude photo bytes from logs.</w:t>
            </w:r>
          </w:p>
        </w:tc>
        <w:tc>
          <w:tcPr>
            <w:tcW w:type="dxa" w:w="144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5"/>
              </w:rPr>
              <w:t>FR-09/10/31; NFR-06/09/16</w:t>
            </w:r>
          </w:p>
        </w:tc>
      </w:tr>
    </w:tbl>
    <w:p>
      <w:pPr>
        <w:spacing w:after="0"/>
      </w:pPr>
    </w:p>
    <w:p>
      <w:pPr>
        <w:pStyle w:val="Heading2"/>
      </w:pPr>
      <w:r>
        <w:t>4.2 Suggested service contracts and data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4"/>
        <w:gridCol w:w="10512"/>
      </w:tblGrid>
      <w:tr>
        <w:trPr>
          <w:tblHeader w:val="true"/>
          <w:cantSplit/>
        </w:trPr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Contract / entity</w:t>
            </w:r>
          </w:p>
        </w:tc>
        <w:tc>
          <w:tcPr>
            <w:tcW w:type="dxa" w:w="7399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Minimum fields or behavior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POST /style-requests</w:t>
            </w:r>
          </w:p>
        </w:tc>
        <w:tc>
          <w:tcPr>
            <w:tcW w:type="dxa" w:w="1051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styles[], colorsLiked[], colorsAvoided[], occasion, sizeFilters[], region, strictBudget{amount,currency}, promptText; validate then return interpreted filters.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POST /palette-estimates</w:t>
            </w:r>
          </w:p>
        </w:tc>
        <w:tc>
          <w:tcPr>
            <w:tcW w:type="dxa" w:w="1051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Only after consent; ephemeral photo handle, quality flags, suggestedPalette[], optional seasonLabel, explanation and uncertainty.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POST /recommendations</w:t>
            </w:r>
          </w:p>
        </w:tc>
        <w:tc>
          <w:tcPr>
            <w:tcW w:type="dxa" w:w="1051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profileOrGuestContext, interpretedFilters, optional palette, catalogSnapshotId; returns outfits[] plus reasons, sourceStatus and warnings.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OutfitRecommendation</w:t>
            </w:r>
          </w:p>
        </w:tc>
        <w:tc>
          <w:tcPr>
            <w:tcW w:type="dxa" w:w="1051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outfitId, roleToOfferMap, subtotal{amount,currency}, excludedCostReasons[], explanations[], matchSignals, sourceSnapshotId.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Offer</w:t>
            </w:r>
          </w:p>
        </w:tc>
        <w:tc>
          <w:tcPr>
            <w:tcW w:type="dxa" w:w="1051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retailerId, sourceId, productId, variantId, URL, category, size, color, price, currency, stockState, asOf, imageReference/rights.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PreferenceProfile</w:t>
            </w:r>
          </w:p>
        </w:tc>
        <w:tc>
          <w:tcPr>
            <w:tcW w:type="dxa" w:w="1051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styleChoices, userColors, avoidedColors, sizes, occasion defaults, region, optional edited palette; distinct from photo-derived inference.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PhotoArtifact</w:t>
            </w:r>
          </w:p>
        </w:tc>
        <w:tc>
          <w:tcPr>
            <w:tcW w:type="dxa" w:w="10512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opaque storage reference, consent reference, expiry, deletion state; not embedded into shopping response.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CatalogSnapshot</w:t>
            </w:r>
          </w:p>
        </w:tc>
        <w:tc>
          <w:tcPr>
            <w:tcW w:type="dxa" w:w="10512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snapshotId, import time, source permissions and schema version; immutable for controlled experiments.</w:t>
            </w:r>
          </w:p>
        </w:tc>
      </w:tr>
    </w:tbl>
    <w:p>
      <w:pPr>
        <w:spacing w:after="0"/>
      </w:pPr>
    </w:p>
    <w:p>
      <w:pPr>
        <w:pStyle w:val="Heading2"/>
      </w:pPr>
      <w:r>
        <w:t>4.3 Three important interaction sequences</w:t>
      </w:r>
    </w:p>
    <w:p>
      <w:r>
        <w:rPr>
          <w:b/>
        </w:rPr>
        <w:t xml:space="preserve">Flow A — Photo-free shopping: </w:t>
      </w:r>
      <w:r>
        <w:t>Visitor → profile preferences → request parser → catalog retrieval → outfit compatibility/ranking → hard budget/availability validation → explainable comparison → outbound retailer link.</w:t>
      </w:r>
    </w:p>
    <w:p>
      <w:r>
        <w:rPr>
          <w:b/>
        </w:rPr>
        <w:t xml:space="preserve">Flow B — Optional color assistance: </w:t>
      </w:r>
      <w:r>
        <w:t>Consent → temporary photograph → quality checks → palette estimate + uncertainty → user edits palette → optional color feature is merged into ranking. Declining consent returns to Flow A.</w:t>
      </w:r>
    </w:p>
    <w:p>
      <w:r>
        <w:rPr>
          <w:b/>
        </w:rPr>
        <w:t xml:space="preserve">Flow C — Catalog preparation: </w:t>
      </w:r>
      <w:r>
        <w:t>Administrator verifies permissions → approved feed/snapshot → adapter validation + canonical normalization → versioned catalog snapshot → candidate retrieval. Missing live access leads to a labelled reproducible snapshot, not invented fresh stock.</w:t>
      </w:r>
    </w:p>
    <w:p>
      <w:pPr>
        <w:pStyle w:val="Heading1"/>
      </w:pPr>
      <w:r>
        <w:t>5. Trust boundaries and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8496"/>
        <w:gridCol w:w="2160"/>
      </w:tblGrid>
      <w:tr>
        <w:trPr>
          <w:tblHeader w:val="true"/>
          <w:cantSplit/>
        </w:trPr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Boundary / risk</w:t>
            </w:r>
          </w:p>
        </w:tc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Mitigation / failure response</w:t>
            </w:r>
          </w:p>
        </w:tc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Portrait image and processing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Consent gate, restricted ephemeral storage, no retailer disclosure, delete control and clear policy.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FR-05/09; NFR-06/07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Retailer catalog freshness</w:t>
            </w:r>
          </w:p>
        </w:tc>
        <w:tc>
          <w:tcPr>
            <w:tcW w:type="dxa" w:w="84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Attribution + as-of metadata, unknown stock explicit, stale link checks, labelled snapshot fallback.</w:t>
            </w:r>
          </w:p>
        </w:tc>
        <w:tc>
          <w:tcPr>
            <w:tcW w:type="dxa" w:w="216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FR-13–FR-18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Hard-budget arithmetic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Validate canonical currency and per-variant offer; exclude over-cap outfits and disclose excluded charges.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FR-22–FR-24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Account and admin authorization</w:t>
            </w:r>
          </w:p>
        </w:tc>
        <w:tc>
          <w:tcPr>
            <w:tcW w:type="dxa" w:w="84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Server-side access checks prevent cross-user profile reads and unauthorized ingestion.</w:t>
            </w:r>
          </w:p>
        </w:tc>
        <w:tc>
          <w:tcPr>
            <w:tcW w:type="dxa" w:w="2160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FR-29; NFR-05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6"/>
              </w:rPr>
              <w:t>ML/candidate biases and reproducibility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Keep algorithms modular; compare explicit preferences, compatibility and added palette signal using held-out human judgments.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6"/>
              </w:rPr>
              <w:t>FR-20; NFR-09/18</w:t>
            </w:r>
          </w:p>
        </w:tc>
      </w:tr>
    </w:tbl>
    <w:p>
      <w:pPr>
        <w:spacing w:after="0"/>
      </w:pPr>
    </w:p>
    <w:p>
      <w:pPr>
        <w:pStyle w:val="Heading1"/>
      </w:pPr>
      <w:r>
        <w:t>6. Diagram-to-requirement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96"/>
        <w:gridCol w:w="4824"/>
      </w:tblGrid>
      <w:tr>
        <w:trPr>
          <w:tblHeader w:val="true"/>
          <w:cantSplit/>
        </w:trPr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Diagram</w:t>
            </w:r>
          </w:p>
        </w:tc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Mandatory pre-defense purpose</w:t>
            </w:r>
          </w:p>
        </w:tc>
        <w:tc>
          <w:tcPr>
            <w:tcW w:type="dxa" w:w="4933"/>
            <w:shd w:fill="6541A1"/>
            <w:vAlign w:val="center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Direct traceability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Context (Fig. 1)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Clearly separates ANTHEIA from users and external retailer sources / checkout.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FR-01/05/13/14/26/29/33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Use Case (Fig. 2)</w:t>
            </w:r>
          </w:p>
        </w:tc>
        <w:tc>
          <w:tcPr>
            <w:tcW w:type="dxa" w:w="6696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Shows user and administrator scenarios, photo consent, shopping, alternatives and deletion.</w:t>
            </w:r>
          </w:p>
        </w:tc>
        <w:tc>
          <w:tcPr>
            <w:tcW w:type="dxa" w:w="4824"/>
            <w:vAlign w:val="center"/>
            <w:shd w:fill="F8F5FC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FR-01–FR-31; UC-01–UC-12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0" w:before="0" w:line="257" w:lineRule="auto"/>
            </w:pPr>
            <w:r>
              <w:rPr>
                <w:b/>
                <w:color w:val="653E97"/>
                <w:sz w:val="17"/>
              </w:rPr>
              <w:t>Component (Fig. 3)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Shows independently testable analysis, retrieval, ranking, budgets, adapters, stores and API.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7" w:lineRule="auto"/>
            </w:pPr>
            <w:r>
              <w:rPr>
                <w:color w:val="2A1F37"/>
                <w:sz w:val="17"/>
              </w:rPr>
              <w:t>FR-06–FR-30; NFR-03/06/09/14</w:t>
            </w:r>
          </w:p>
        </w:tc>
      </w:tr>
    </w:tbl>
    <w:p>
      <w:pPr>
        <w:spacing w:after="0"/>
      </w:pPr>
    </w:p>
    <w:p>
      <w:pPr>
        <w:pStyle w:val="Heading1"/>
      </w:pPr>
      <w:r>
        <w:t>7. Architecture review checklist / next milestone</w:t>
      </w:r>
    </w:p>
    <w:p>
      <w:pPr>
        <w:pStyle w:val="ListBullet"/>
        <w:spacing w:after="60"/>
      </w:pPr>
      <w:r>
        <w:t>Confirm legal and practical access to at least one retailer-origin data source; define a second independently shaped fixture for adapter contract tests.</w:t>
      </w:r>
    </w:p>
    <w:p>
      <w:pPr>
        <w:pStyle w:val="ListBullet"/>
        <w:spacing w:after="60"/>
      </w:pPr>
      <w:r>
        <w:t>Confirm the color-estimation experiment protocol and ethical/privacy conditions before accepting any personal photos.</w:t>
      </w:r>
    </w:p>
    <w:p>
      <w:pPr>
        <w:pStyle w:val="ListBullet"/>
        <w:spacing w:after="60"/>
      </w:pPr>
      <w:r>
        <w:t>Agree on strict versus flexible budget interface and KZT/other-currency conversion rules.</w:t>
      </w:r>
    </w:p>
    <w:p>
      <w:pPr>
        <w:pStyle w:val="ListBullet"/>
        <w:spacing w:after="60"/>
      </w:pPr>
      <w:r>
        <w:t>Link FR, NFR, UC, diagram and acceptance IDs to YouTrack issues and Git commits/PRs.</w:t>
      </w:r>
    </w:p>
    <w:p>
      <w:pPr>
        <w:pStyle w:val="ListBullet"/>
        <w:spacing w:after="60"/>
      </w:pPr>
      <w:r>
        <w:t>Maintain editable diagram sources (.drawio) and a review log of supervisor feedback; do not imply the first defense requires a complete deployed product.</w:t>
      </w:r>
    </w:p>
    <w:p>
      <w:pPr>
        <w:pStyle w:val="Heading1"/>
      </w:pPr>
      <w:r>
        <w:t>References and basis</w:t>
      </w:r>
    </w:p>
    <w:p>
      <w:pPr>
        <w:pStyle w:val="SmallNote"/>
      </w:pPr>
      <w:r>
        <w:t>[S1] Evidence of Relevance — four semi-structured interviews; Sections 2.1–2.7, Tables 2.1–2.2 (2026).</w:t>
      </w:r>
    </w:p>
    <w:p>
      <w:pPr>
        <w:pStyle w:val="SmallNote"/>
      </w:pPr>
      <w:r>
        <w:t>[S2] Existing Systems Comparison — Blossom, StyleLab, Stitch Fix and Cladwell; Sections 4.1–4.6 (2026).</w:t>
      </w:r>
    </w:p>
    <w:p>
      <w:pPr>
        <w:pStyle w:val="SmallNote"/>
      </w:pPr>
      <w:r>
        <w:t>[S3] Fashion Recommendation Literature Review — 12 reviewed scientific works; Sections 3.1–3.10 and Table 3.1 (2026).</w:t>
      </w:r>
    </w:p>
    <w:p>
      <w:pPr>
        <w:pStyle w:val="SmallNote"/>
      </w:pPr>
      <w:r>
        <w:t>[S4] First Pre-defense Requirements — "До 24 октября"; items 6–7 and minimum repository deliverables (2026).</w:t>
      </w:r>
    </w:p>
    <w:p>
      <w:pPr>
        <w:pStyle w:val="SmallNote"/>
      </w:pPr>
      <w:r>
        <w:t>Source interpretation: interview-supported needs are distinguished from engineering proposals, technical dependencies and planned acceptance thresholds. Bibliographic citations for scientific claims remain in [S3].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ANTHEIA  •  Proposed design baseline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ANTHEIA    /    DIPLOMA PRE-DEFENSE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A1F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53E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653E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2A1F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00"/>
      <w:contextualSpacing/>
    </w:pPr>
    <w:rPr>
      <w:rFonts w:asciiTheme="majorHAnsi" w:eastAsiaTheme="majorEastAsia" w:hAnsiTheme="majorHAnsi" w:cstheme="majorBidi" w:ascii="Aptos Display" w:hAnsi="Aptos Display"/>
      <w:b/>
      <w:color w:val="653E9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63596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