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5258847bb485c" /></Relationships>
</file>

<file path=word/document.xml><?xml version="1.0" encoding="utf-8"?>
<w:document xmlns:w="http://schemas.openxmlformats.org/wordprocessingml/2006/main">
  <w:body>
    <w:tbl>
      <w:tblPr>
        <w:tblBorders>
          <w:top w:val="dashDotStroked" w:sz="12"/>
          <w:left w:val="single" w:sz="12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/>
                <w:color w:val="FF0000"/>
              </w:rPr>
              <w:t>equipment-0.png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equipment-1.png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http://biomedicalupd-001-site1.itempurl.com/#/home/EquipmentDetails/37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http://biomedicalupd-001-site1.itempurl.com/#/home/EquipmentDetails/38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http://biomedicalupd-001-site1.itempurl.com/#/home/EquipmentDetails/39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http://biomedicalupd-001-site1.itempurl.com/#/home/EquipmentDetails/40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http://biomedicalupd-001-site1.itempurl.com/#/home/EquipmentDetails/41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http://biomedicalupd-001-site1.itempurl.com/#/home/EquipmentDetails/42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http://biomedicalupd-001-site1.itempurl.com/#/home/EquipmentDetails/43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http://biomedicalupd-001-site1.itempurl.com/#/home/EquipmentDetails/44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http://biomedicalupd-001-site1.itempurl.com/#/home/EquipmentDetails/45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http://biomedicalupd-001-site1.itempurl.com/#/home/EquipmentDetails/46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http://biomedicalupd-001-site1.itempurl.com/#/home/EquipmentDetails/47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http://biomedicalupd-001-site1.itempurl.com/#/home/EquipmentDetails/48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http://biomedicalupd-001-site1.itempurl.com/#/home/EquipmentDetails/49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http://biomedicalupd-001-site1.itempurl.com/#/home/EquipmentDetails/1031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http://biomedicalupd-001-site1.itempurl.com/#/home/EquipmentDetails/1032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http://biomedicalupd-001-site1.itempurl.com/#/home/EquipmentDetails/1033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http://biomedicalupd-001-site1.itempurl.com/#/home/EquipmentDetails/1034</w:t>
            </w:r>
          </w:p>
          <w:tcPr>
            <w:tcW w:w="2000" w:type="dxa"/>
          </w:tcPr>
        </w:tc>
      </w:tr>
    </w:tbl>
  </w:body>
</w:document>
</file>