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MLY0100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CLUSTERING GENERALIDADES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RA5 Elabora algoritmos para aprendizaje no supervisado y genera las diferentes métricas para su evaluación, de acuerdo a la resolución del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5.2 Construye modelos de aprendizaje no supervisado utilizando algoritmos de segmentación según corresponda.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La actividad tiene como finalidad comprender el concepto de clustering, la diferencia entre similaridad y distancia, para terminar viendo las diferentes formas medir distancias entre grupos/cluster.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2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000000"/>
          <w:rtl w:val="0"/>
        </w:rPr>
        <w:t xml:space="preserve">A partir de la presentación del profesor, se desarrollará un ejercicio en Jupyter Python con diferentes formas de calcular distancias.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2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Se debe ejecutar el notebook y desarrollar los ejercicios planteados en él.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3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4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MHTandHZVAPkm/zkqmzXeSdjWg==">CgMxLjA4AHIhMUxEQVpzYXFJV0hGM2t6X1hGbzc5UFhKWU81RW95eDhU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