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Requirements Document</w:t>
      </w:r>
    </w:p>
    <w:p>
      <w:pPr>
        <w:pStyle w:val="Subtitle"/>
      </w:pPr>
      <w:r>
        <w:t>Online Building Permit Applications</w:t>
      </w:r>
    </w:p>
    <w:p>
      <w:r>
        <w:t>City of Maple Falls · Department of Planning and Building</w:t>
      </w:r>
    </w:p>
    <w:p>
      <w:pPr>
        <w:pStyle w:val="Heading1"/>
      </w:pPr>
      <w:r>
        <w:t>Document Information</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w:t>
            </w:r>
          </w:p>
        </w:tc>
      </w:tr>
      <w:tr>
        <w:tc>
          <w:tcPr>
            <w:tcW w:type="dxa" w:w="4320"/>
          </w:tcPr>
          <w:p>
            <w:r>
              <w:t>Document ID</w:t>
            </w:r>
          </w:p>
        </w:tc>
        <w:tc>
          <w:tcPr>
            <w:tcW w:type="dxa" w:w="4320"/>
          </w:tcPr>
          <w:p>
            <w:r>
              <w:t>BRD-PB-2026-04</w:t>
            </w:r>
          </w:p>
        </w:tc>
      </w:tr>
      <w:tr>
        <w:tc>
          <w:tcPr>
            <w:tcW w:type="dxa" w:w="4320"/>
          </w:tcPr>
          <w:p>
            <w:r>
              <w:t>Version</w:t>
            </w:r>
          </w:p>
        </w:tc>
        <w:tc>
          <w:tcPr>
            <w:tcW w:type="dxa" w:w="4320"/>
          </w:tcPr>
          <w:p>
            <w:r>
              <w:t>1.2</w:t>
            </w:r>
          </w:p>
        </w:tc>
      </w:tr>
      <w:tr>
        <w:tc>
          <w:tcPr>
            <w:tcW w:type="dxa" w:w="4320"/>
          </w:tcPr>
          <w:p>
            <w:r>
              <w:t>Prepared by</w:t>
            </w:r>
          </w:p>
        </w:tc>
        <w:tc>
          <w:tcPr>
            <w:tcW w:type="dxa" w:w="4320"/>
          </w:tcPr>
          <w:p>
            <w:r>
              <w:t>Priya Natarajan, Business Analyst</w:t>
            </w:r>
          </w:p>
        </w:tc>
      </w:tr>
      <w:tr>
        <w:tc>
          <w:tcPr>
            <w:tcW w:type="dxa" w:w="4320"/>
          </w:tcPr>
          <w:p>
            <w:r>
              <w:t>Business owner</w:t>
            </w:r>
          </w:p>
        </w:tc>
        <w:tc>
          <w:tcPr>
            <w:tcW w:type="dxa" w:w="4320"/>
          </w:tcPr>
          <w:p>
            <w:r>
              <w:t>Thomas Reyes, Chief Building Official</w:t>
            </w:r>
          </w:p>
        </w:tc>
      </w:tr>
      <w:tr>
        <w:tc>
          <w:tcPr>
            <w:tcW w:type="dxa" w:w="4320"/>
          </w:tcPr>
          <w:p>
            <w:r>
              <w:t>Date</w:t>
            </w:r>
          </w:p>
        </w:tc>
        <w:tc>
          <w:tcPr>
            <w:tcW w:type="dxa" w:w="4320"/>
          </w:tcPr>
          <w:p>
            <w:r>
              <w:t>2026-09-14</w:t>
            </w:r>
          </w:p>
        </w:tc>
      </w:tr>
    </w:tbl>
    <w:p>
      <w:pPr>
        <w:pStyle w:val="Heading2"/>
      </w:pPr>
      <w:r>
        <w:t>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Author</w:t>
            </w:r>
          </w:p>
        </w:tc>
        <w:tc>
          <w:tcPr>
            <w:tcW w:type="dxa" w:w="2160"/>
          </w:tcPr>
          <w:p>
            <w:r>
              <w:t>Changes</w:t>
            </w:r>
          </w:p>
        </w:tc>
      </w:tr>
      <w:tr>
        <w:tc>
          <w:tcPr>
            <w:tcW w:type="dxa" w:w="2160"/>
          </w:tcPr>
          <w:p>
            <w:r>
              <w:t>1.0</w:t>
            </w:r>
          </w:p>
        </w:tc>
        <w:tc>
          <w:tcPr>
            <w:tcW w:type="dxa" w:w="2160"/>
          </w:tcPr>
          <w:p>
            <w:r>
              <w:t>2026-07-30</w:t>
            </w:r>
          </w:p>
        </w:tc>
        <w:tc>
          <w:tcPr>
            <w:tcW w:type="dxa" w:w="2160"/>
          </w:tcPr>
          <w:p>
            <w:r>
              <w:t>Priya Natarajan</w:t>
            </w:r>
          </w:p>
        </w:tc>
        <w:tc>
          <w:tcPr>
            <w:tcW w:type="dxa" w:w="2160"/>
          </w:tcPr>
          <w:p>
            <w:r>
              <w:t>First draft for review</w:t>
            </w:r>
          </w:p>
        </w:tc>
      </w:tr>
      <w:tr>
        <w:tc>
          <w:tcPr>
            <w:tcW w:type="dxa" w:w="2160"/>
          </w:tcPr>
          <w:p>
            <w:r>
              <w:t>1.1</w:t>
            </w:r>
          </w:p>
        </w:tc>
        <w:tc>
          <w:tcPr>
            <w:tcW w:type="dxa" w:w="2160"/>
          </w:tcPr>
          <w:p>
            <w:r>
              <w:t>2026-08-21</w:t>
            </w:r>
          </w:p>
        </w:tc>
        <w:tc>
          <w:tcPr>
            <w:tcW w:type="dxa" w:w="2160"/>
          </w:tcPr>
          <w:p>
            <w:r>
              <w:t>Priya Natarajan</w:t>
            </w:r>
          </w:p>
        </w:tc>
        <w:tc>
          <w:tcPr>
            <w:tcW w:type="dxa" w:w="2160"/>
          </w:tcPr>
          <w:p>
            <w:r>
              <w:t>Added inspection booking requirements</w:t>
            </w:r>
          </w:p>
        </w:tc>
      </w:tr>
      <w:tr>
        <w:tc>
          <w:tcPr>
            <w:tcW w:type="dxa" w:w="2160"/>
          </w:tcPr>
          <w:p>
            <w:r>
              <w:t>1.2</w:t>
            </w:r>
          </w:p>
        </w:tc>
        <w:tc>
          <w:tcPr>
            <w:tcW w:type="dxa" w:w="2160"/>
          </w:tcPr>
          <w:p>
            <w:r>
              <w:t>2026-09-14</w:t>
            </w:r>
          </w:p>
        </w:tc>
        <w:tc>
          <w:tcPr>
            <w:tcW w:type="dxa" w:w="2160"/>
          </w:tcPr>
          <w:p>
            <w:r>
              <w:t>Priya Natarajan</w:t>
            </w:r>
          </w:p>
        </w:tc>
        <w:tc>
          <w:tcPr>
            <w:tcW w:type="dxa" w:w="2160"/>
          </w:tcPr>
          <w:p>
            <w:r>
              <w:t>Updated after steering group review</w:t>
            </w:r>
          </w:p>
        </w:tc>
      </w:tr>
    </w:tbl>
    <w:p>
      <w:pPr>
        <w:pStyle w:val="Heading1"/>
      </w:pPr>
      <w:r>
        <w:t>Executive Summary</w:t>
      </w:r>
    </w:p>
    <w:p>
      <w:r>
        <w:t>The City of Maple Falls issues about 4,600 building permits a year. Applicants submit paper forms at the permit counter or email scanned PDFs, and counter staff re-key every application into PermitTrack. A residential permit takes 41 days on average from application to decision, and applicants phone the office to book each inspection. This project will let applicants apply, pay and track their permits online, and let plans examiners and inspectors work from the same record. The department expects to halve residential turnaround and free about two counter positions for applicant help.</w:t>
      </w:r>
    </w:p>
    <w:p>
      <w:pPr>
        <w:pStyle w:val="Heading1"/>
      </w:pPr>
      <w:r>
        <w:t>Project Objectives</w:t>
      </w:r>
    </w:p>
    <w:p>
      <w:pPr>
        <w:pStyle w:val="ListNumber"/>
      </w:pPr>
      <w:r>
        <w:t>Cut the average time from application to decision for residential permits from 41 days to 20 days by December 2027.</w:t>
      </w:r>
    </w:p>
    <w:p>
      <w:pPr>
        <w:pStyle w:val="ListNumber"/>
      </w:pPr>
      <w:r>
        <w:t>Receive at least 80% of permit applications online within twelve months of launch.</w:t>
      </w:r>
    </w:p>
    <w:p>
      <w:pPr>
        <w:pStyle w:val="ListNumber"/>
      </w:pPr>
      <w:r>
        <w:t>Remove manual re-keying of application data by counter staff.</w:t>
      </w:r>
    </w:p>
    <w:p>
      <w:pPr>
        <w:pStyle w:val="ListNumber"/>
      </w:pPr>
      <w:r>
        <w:t>Let applicants book inspections without phoning the office.</w:t>
      </w:r>
    </w:p>
    <w:p>
      <w:pPr>
        <w:pStyle w:val="Heading1"/>
      </w:pPr>
      <w:r>
        <w:t>Project Scope</w:t>
      </w:r>
    </w:p>
    <w:p>
      <w:r>
        <w:t>The project includes:</w:t>
      </w:r>
    </w:p>
    <w:p>
      <w:pPr>
        <w:pStyle w:val="ListBullet"/>
      </w:pPr>
      <w:r>
        <w:t>Online application forms for residential and small commercial building permits</w:t>
      </w:r>
    </w:p>
    <w:p>
      <w:pPr>
        <w:pStyle w:val="ListBullet"/>
      </w:pPr>
      <w:r>
        <w:t>Online payment of permit fees</w:t>
      </w:r>
    </w:p>
    <w:p>
      <w:pPr>
        <w:pStyle w:val="ListBullet"/>
      </w:pPr>
      <w:r>
        <w:t>Electronic plan review with comments returned to the applicant</w:t>
      </w:r>
    </w:p>
    <w:p>
      <w:pPr>
        <w:pStyle w:val="ListBullet"/>
      </w:pPr>
      <w:r>
        <w:t>Inspection booking, and inspection results recorded in the field</w:t>
      </w:r>
    </w:p>
    <w:p>
      <w:r>
        <w:t>The project does not include:</w:t>
      </w:r>
    </w:p>
    <w:p>
      <w:pPr>
        <w:pStyle w:val="ListBullet"/>
      </w:pPr>
      <w:r>
        <w:t>Planning and zoning applications, which stay on the current process</w:t>
      </w:r>
    </w:p>
    <w:p>
      <w:pPr>
        <w:pStyle w:val="ListBullet"/>
      </w:pPr>
      <w:r>
        <w:t>Changes to the permit fee schedule</w:t>
      </w:r>
    </w:p>
    <w:p>
      <w:pPr>
        <w:pStyle w:val="ListBullet"/>
      </w:pPr>
      <w:r>
        <w:t>Migration of permits closed before 2020</w:t>
      </w:r>
    </w:p>
    <w:p>
      <w:r>
        <w:t>Phase 1 (residential permits) goes live in May 2027. Phase 2 (small commercial permits) follows in October 2027.</w:t>
      </w:r>
    </w:p>
    <w:p>
      <w:pPr>
        <w:pStyle w:val="Heading1"/>
      </w:pPr>
      <w:r>
        <w:t>Key Stakeholders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Role</w:t>
            </w:r>
          </w:p>
        </w:tc>
        <w:tc>
          <w:tcPr>
            <w:tcW w:type="dxa" w:w="2160"/>
          </w:tcPr>
          <w:p>
            <w:r>
              <w:t>Involvement</w:t>
            </w:r>
          </w:p>
        </w:tc>
        <w:tc>
          <w:tcPr>
            <w:tcW w:type="dxa" w:w="2160"/>
          </w:tcPr>
          <w:p>
            <w:r>
              <w:t>How affected</w:t>
            </w:r>
          </w:p>
        </w:tc>
      </w:tr>
      <w:tr>
        <w:tc>
          <w:tcPr>
            <w:tcW w:type="dxa" w:w="2160"/>
          </w:tcPr>
          <w:p>
            <w:r>
              <w:t>Thomas Reyes</w:t>
            </w:r>
          </w:p>
        </w:tc>
        <w:tc>
          <w:tcPr>
            <w:tcW w:type="dxa" w:w="2160"/>
          </w:tcPr>
          <w:p>
            <w:r>
              <w:t>Chief Building Official</w:t>
            </w:r>
          </w:p>
        </w:tc>
        <w:tc>
          <w:tcPr>
            <w:tcW w:type="dxa" w:w="2160"/>
          </w:tcPr>
          <w:p>
            <w:r>
              <w:t>Business owner; approves scope and budget</w:t>
            </w:r>
          </w:p>
        </w:tc>
        <w:tc>
          <w:tcPr>
            <w:tcW w:type="dxa" w:w="2160"/>
          </w:tcPr>
          <w:p>
            <w:r>
              <w:t>Accountable for permit turnaround</w:t>
            </w:r>
          </w:p>
        </w:tc>
      </w:tr>
      <w:tr>
        <w:tc>
          <w:tcPr>
            <w:tcW w:type="dxa" w:w="2160"/>
          </w:tcPr>
          <w:p>
            <w:r>
              <w:t>Priya Natarajan</w:t>
            </w:r>
          </w:p>
        </w:tc>
        <w:tc>
          <w:tcPr>
            <w:tcW w:type="dxa" w:w="2160"/>
          </w:tcPr>
          <w:p>
            <w:r>
              <w:t>Business Analyst, IT Services</w:t>
            </w:r>
          </w:p>
        </w:tc>
        <w:tc>
          <w:tcPr>
            <w:tcW w:type="dxa" w:w="2160"/>
          </w:tcPr>
          <w:p>
            <w:r>
              <w:t>Writes and maintains the requirements</w:t>
            </w:r>
          </w:p>
        </w:tc>
        <w:tc>
          <w:tcPr>
            <w:tcW w:type="dxa" w:w="2160"/>
          </w:tcPr>
          <w:p>
            <w:r>
              <w:t>None</w:t>
            </w:r>
          </w:p>
        </w:tc>
      </w:tr>
      <w:tr>
        <w:tc>
          <w:tcPr>
            <w:tcW w:type="dxa" w:w="2160"/>
          </w:tcPr>
          <w:p>
            <w:r>
              <w:t>Elena Vasquez</w:t>
            </w:r>
          </w:p>
        </w:tc>
        <w:tc>
          <w:tcPr>
            <w:tcW w:type="dxa" w:w="2160"/>
          </w:tcPr>
          <w:p>
            <w:r>
              <w:t>Permit Counter Supervisor</w:t>
            </w:r>
          </w:p>
        </w:tc>
        <w:tc>
          <w:tcPr>
            <w:tcW w:type="dxa" w:w="2160"/>
          </w:tcPr>
          <w:p>
            <w:r>
              <w:t>Reviews forms; daily user</w:t>
            </w:r>
          </w:p>
        </w:tc>
        <w:tc>
          <w:tcPr>
            <w:tcW w:type="dxa" w:w="2160"/>
          </w:tcPr>
          <w:p>
            <w:r>
              <w:t>Counter work moves from data entry to applicant help</w:t>
            </w:r>
          </w:p>
        </w:tc>
      </w:tr>
      <w:tr>
        <w:tc>
          <w:tcPr>
            <w:tcW w:type="dxa" w:w="2160"/>
          </w:tcPr>
          <w:p>
            <w:r>
              <w:t>Marcus Hill</w:t>
            </w:r>
          </w:p>
        </w:tc>
        <w:tc>
          <w:tcPr>
            <w:tcW w:type="dxa" w:w="2160"/>
          </w:tcPr>
          <w:p>
            <w:r>
              <w:t>Senior Plans Examiner</w:t>
            </w:r>
          </w:p>
        </w:tc>
        <w:tc>
          <w:tcPr>
            <w:tcW w:type="dxa" w:w="2160"/>
          </w:tcPr>
          <w:p>
            <w:r>
              <w:t>Daily user of plan review</w:t>
            </w:r>
          </w:p>
        </w:tc>
        <w:tc>
          <w:tcPr>
            <w:tcW w:type="dxa" w:w="2160"/>
          </w:tcPr>
          <w:p>
            <w:r>
              <w:t>Reviews drawings on screen instead of on paper</w:t>
            </w:r>
          </w:p>
        </w:tc>
      </w:tr>
      <w:tr>
        <w:tc>
          <w:tcPr>
            <w:tcW w:type="dxa" w:w="2160"/>
          </w:tcPr>
          <w:p>
            <w:r>
              <w:t>Joan Whitfield</w:t>
            </w:r>
          </w:p>
        </w:tc>
        <w:tc>
          <w:tcPr>
            <w:tcW w:type="dxa" w:w="2160"/>
          </w:tcPr>
          <w:p>
            <w:r>
              <w:t>Lead Building Inspector</w:t>
            </w:r>
          </w:p>
        </w:tc>
        <w:tc>
          <w:tcPr>
            <w:tcW w:type="dxa" w:w="2160"/>
          </w:tcPr>
          <w:p>
            <w:r>
              <w:t>Uses inspection booking in the field</w:t>
            </w:r>
          </w:p>
        </w:tc>
        <w:tc>
          <w:tcPr>
            <w:tcW w:type="dxa" w:w="2160"/>
          </w:tcPr>
          <w:p>
            <w:r>
              <w:t>Receives inspection lists on a tablet</w:t>
            </w:r>
          </w:p>
        </w:tc>
      </w:tr>
      <w:tr>
        <w:tc>
          <w:tcPr>
            <w:tcW w:type="dxa" w:w="2160"/>
          </w:tcPr>
          <w:p>
            <w:r>
              <w:t>Contractors and homeowners</w:t>
            </w:r>
          </w:p>
        </w:tc>
        <w:tc>
          <w:tcPr>
            <w:tcW w:type="dxa" w:w="2160"/>
          </w:tcPr>
          <w:p>
            <w:r>
              <w:t>Applicants</w:t>
            </w:r>
          </w:p>
        </w:tc>
        <w:tc>
          <w:tcPr>
            <w:tcW w:type="dxa" w:w="2160"/>
          </w:tcPr>
          <w:p>
            <w:r>
              <w:t>Consulted through two workshops</w:t>
            </w:r>
          </w:p>
        </w:tc>
        <w:tc>
          <w:tcPr>
            <w:tcW w:type="dxa" w:w="2160"/>
          </w:tcPr>
          <w:p>
            <w:r>
              <w:t>Apply, pay and book inspections online</w:t>
            </w:r>
          </w:p>
        </w:tc>
      </w:tr>
    </w:tbl>
    <w:p>
      <w:pPr>
        <w:pStyle w:val="Heading1"/>
      </w:pPr>
      <w:r>
        <w:t>Current Process</w:t>
      </w:r>
    </w:p>
    <w:p>
      <w:r>
        <w:t>A residential permit is handled today as follows:</w:t>
      </w:r>
    </w:p>
    <w:p>
      <w:pPr>
        <w:pStyle w:val="ListNumber"/>
      </w:pPr>
      <w:r>
        <w:t>The applicant collects a paper form from the counter or downloads a PDF.</w:t>
      </w:r>
    </w:p>
    <w:p>
      <w:pPr>
        <w:pStyle w:val="ListNumber"/>
      </w:pPr>
      <w:r>
        <w:t>Counter staff check the form for completeness and take payment by card or cheque.</w:t>
      </w:r>
    </w:p>
    <w:p>
      <w:pPr>
        <w:pStyle w:val="ListNumber"/>
      </w:pPr>
      <w:r>
        <w:t>Counter staff type the application into PermitTrack.</w:t>
      </w:r>
    </w:p>
    <w:p>
      <w:pPr>
        <w:pStyle w:val="ListNumber"/>
      </w:pPr>
      <w:r>
        <w:t>A plans examiner reviews the paper drawings and writes comments on them.</w:t>
      </w:r>
    </w:p>
    <w:p>
      <w:pPr>
        <w:pStyle w:val="ListNumber"/>
      </w:pPr>
      <w:r>
        <w:t>The applicant phones the office to book each inspection.</w:t>
      </w:r>
    </w:p>
    <w:p>
      <w:pPr>
        <w:pStyle w:val="Heading1"/>
      </w:pPr>
      <w:r>
        <w:t>Business Requirements</w:t>
      </w:r>
    </w:p>
    <w:p>
      <w:r>
        <w:t>The Objective column refers to the numbered project objectives.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Priority</w:t>
            </w:r>
          </w:p>
        </w:tc>
        <w:tc>
          <w:tcPr>
            <w:tcW w:type="dxa" w:w="2160"/>
          </w:tcPr>
          <w:p>
            <w:r>
              <w:t>Objective</w:t>
            </w:r>
          </w:p>
        </w:tc>
      </w:tr>
      <w:tr>
        <w:tc>
          <w:tcPr>
            <w:tcW w:type="dxa" w:w="2160"/>
          </w:tcPr>
          <w:p>
            <w:r>
              <w:t>BR-01</w:t>
            </w:r>
          </w:p>
        </w:tc>
        <w:tc>
          <w:tcPr>
            <w:tcW w:type="dxa" w:w="2160"/>
          </w:tcPr>
          <w:p>
            <w:r>
              <w:t>Applicants can submit a complete permit application online, including drawings.</w:t>
            </w:r>
          </w:p>
        </w:tc>
        <w:tc>
          <w:tcPr>
            <w:tcW w:type="dxa" w:w="2160"/>
          </w:tcPr>
          <w:p>
            <w:r>
              <w:t>Must have</w:t>
            </w:r>
          </w:p>
        </w:tc>
        <w:tc>
          <w:tcPr>
            <w:tcW w:type="dxa" w:w="2160"/>
          </w:tcPr>
          <w:p>
            <w:r>
              <w:t>1, 2</w:t>
            </w:r>
          </w:p>
        </w:tc>
      </w:tr>
      <w:tr>
        <w:tc>
          <w:tcPr>
            <w:tcW w:type="dxa" w:w="2160"/>
          </w:tcPr>
          <w:p>
            <w:r>
              <w:t>BR-02</w:t>
            </w:r>
          </w:p>
        </w:tc>
        <w:tc>
          <w:tcPr>
            <w:tcW w:type="dxa" w:w="2160"/>
          </w:tcPr>
          <w:p>
            <w:r>
              <w:t>Applicants can pay permit fees online at the time of application.</w:t>
            </w:r>
          </w:p>
        </w:tc>
        <w:tc>
          <w:tcPr>
            <w:tcW w:type="dxa" w:w="2160"/>
          </w:tcPr>
          <w:p>
            <w:r>
              <w:t>Must have</w:t>
            </w:r>
          </w:p>
        </w:tc>
        <w:tc>
          <w:tcPr>
            <w:tcW w:type="dxa" w:w="2160"/>
          </w:tcPr>
          <w:p>
            <w:r>
              <w:t>2</w:t>
            </w:r>
          </w:p>
        </w:tc>
      </w:tr>
      <w:tr>
        <w:tc>
          <w:tcPr>
            <w:tcW w:type="dxa" w:w="2160"/>
          </w:tcPr>
          <w:p>
            <w:r>
              <w:t>BR-03</w:t>
            </w:r>
          </w:p>
        </w:tc>
        <w:tc>
          <w:tcPr>
            <w:tcW w:type="dxa" w:w="2160"/>
          </w:tcPr>
          <w:p>
            <w:r>
              <w:t>Application data reaches the permit record without re-keying.</w:t>
            </w:r>
          </w:p>
        </w:tc>
        <w:tc>
          <w:tcPr>
            <w:tcW w:type="dxa" w:w="2160"/>
          </w:tcPr>
          <w:p>
            <w:r>
              <w:t>Must have</w:t>
            </w:r>
          </w:p>
        </w:tc>
        <w:tc>
          <w:tcPr>
            <w:tcW w:type="dxa" w:w="2160"/>
          </w:tcPr>
          <w:p>
            <w:r>
              <w:t>3</w:t>
            </w:r>
          </w:p>
        </w:tc>
      </w:tr>
      <w:tr>
        <w:tc>
          <w:tcPr>
            <w:tcW w:type="dxa" w:w="2160"/>
          </w:tcPr>
          <w:p>
            <w:r>
              <w:t>BR-04</w:t>
            </w:r>
          </w:p>
        </w:tc>
        <w:tc>
          <w:tcPr>
            <w:tcW w:type="dxa" w:w="2160"/>
          </w:tcPr>
          <w:p>
            <w:r>
              <w:t>Plans examiners can review drawings and return comments electronically.</w:t>
            </w:r>
          </w:p>
        </w:tc>
        <w:tc>
          <w:tcPr>
            <w:tcW w:type="dxa" w:w="2160"/>
          </w:tcPr>
          <w:p>
            <w:r>
              <w:t>Must have</w:t>
            </w:r>
          </w:p>
        </w:tc>
        <w:tc>
          <w:tcPr>
            <w:tcW w:type="dxa" w:w="2160"/>
          </w:tcPr>
          <w:p>
            <w:r>
              <w:t>1</w:t>
            </w:r>
          </w:p>
        </w:tc>
      </w:tr>
      <w:tr>
        <w:tc>
          <w:tcPr>
            <w:tcW w:type="dxa" w:w="2160"/>
          </w:tcPr>
          <w:p>
            <w:r>
              <w:t>BR-05</w:t>
            </w:r>
          </w:p>
        </w:tc>
        <w:tc>
          <w:tcPr>
            <w:tcW w:type="dxa" w:w="2160"/>
          </w:tcPr>
          <w:p>
            <w:r>
              <w:t>Applicants can see the status of their application at any time.</w:t>
            </w:r>
          </w:p>
        </w:tc>
        <w:tc>
          <w:tcPr>
            <w:tcW w:type="dxa" w:w="2160"/>
          </w:tcPr>
          <w:p>
            <w:r>
              <w:t>Nice to have</w:t>
            </w:r>
          </w:p>
        </w:tc>
        <w:tc>
          <w:tcPr>
            <w:tcW w:type="dxa" w:w="2160"/>
          </w:tcPr>
          <w:p>
            <w:r>
              <w:t>1</w:t>
            </w:r>
          </w:p>
        </w:tc>
      </w:tr>
      <w:tr>
        <w:tc>
          <w:tcPr>
            <w:tcW w:type="dxa" w:w="2160"/>
          </w:tcPr>
          <w:p>
            <w:r>
              <w:t>BR-06</w:t>
            </w:r>
          </w:p>
        </w:tc>
        <w:tc>
          <w:tcPr>
            <w:tcW w:type="dxa" w:w="2160"/>
          </w:tcPr>
          <w:p>
            <w:r>
              <w:t>Applicants can book, move and cancel inspections online.</w:t>
            </w:r>
          </w:p>
        </w:tc>
        <w:tc>
          <w:tcPr>
            <w:tcW w:type="dxa" w:w="2160"/>
          </w:tcPr>
          <w:p>
            <w:r>
              <w:t>Must have</w:t>
            </w:r>
          </w:p>
        </w:tc>
        <w:tc>
          <w:tcPr>
            <w:tcW w:type="dxa" w:w="2160"/>
          </w:tcPr>
          <w:p>
            <w:r>
              <w:t>4</w:t>
            </w:r>
          </w:p>
        </w:tc>
      </w:tr>
      <w:tr>
        <w:tc>
          <w:tcPr>
            <w:tcW w:type="dxa" w:w="2160"/>
          </w:tcPr>
          <w:p>
            <w:r>
              <w:t>BR-07</w:t>
            </w:r>
          </w:p>
        </w:tc>
        <w:tc>
          <w:tcPr>
            <w:tcW w:type="dxa" w:w="2160"/>
          </w:tcPr>
          <w:p>
            <w:r>
              <w:t>Inspectors record results in the field and the applicant hears the same day.</w:t>
            </w:r>
          </w:p>
        </w:tc>
        <w:tc>
          <w:tcPr>
            <w:tcW w:type="dxa" w:w="2160"/>
          </w:tcPr>
          <w:p>
            <w:r>
              <w:t>Nice to have</w:t>
            </w:r>
          </w:p>
        </w:tc>
        <w:tc>
          <w:tcPr>
            <w:tcW w:type="dxa" w:w="2160"/>
          </w:tcPr>
          <w:p>
            <w:r>
              <w:t>4</w:t>
            </w:r>
          </w:p>
        </w:tc>
      </w:tr>
    </w:tbl>
    <w:p>
      <w:pPr>
        <w:pStyle w:val="Heading1"/>
      </w:pPr>
      <w:r>
        <w:t>Functional Requirements</w:t>
      </w:r>
    </w:p>
    <w:p>
      <w:r>
        <w:t>Functional requirements are grouped by user. Each one traces to a business requirement, shown in brackets.</w:t>
      </w:r>
    </w:p>
    <w:p>
      <w:pPr>
        <w:pStyle w:val="Heading2"/>
      </w:pPr>
      <w:r>
        <w:t>Applicant</w:t>
      </w:r>
    </w:p>
    <w:p>
      <w:pPr>
        <w:pStyle w:val="ListBullet"/>
      </w:pPr>
      <w:r>
        <w:t>FR-1.1 The system shall let an applicant create an account with an email address and password. [BR-01]</w:t>
      </w:r>
    </w:p>
    <w:p>
      <w:pPr>
        <w:pStyle w:val="ListBullet"/>
      </w:pPr>
      <w:r>
        <w:t>FR-1.2 The system shall show only the form sections that apply to the selected permit type. [BR-01]</w:t>
      </w:r>
    </w:p>
    <w:p>
      <w:pPr>
        <w:pStyle w:val="ListBullet"/>
      </w:pPr>
      <w:r>
        <w:t>FR-1.3 The system shall accept drawings as PDF files of up to 50 MB each. [BR-01]</w:t>
      </w:r>
    </w:p>
    <w:p>
      <w:pPr>
        <w:pStyle w:val="ListBullet"/>
      </w:pPr>
      <w:r>
        <w:t>FR-1.4 The system shall take card payment through CityPay before the application is submitted. [BR-02]</w:t>
      </w:r>
    </w:p>
    <w:p>
      <w:pPr>
        <w:pStyle w:val="ListBullet"/>
      </w:pPr>
      <w:r>
        <w:t>FR-1.5 The system shall show the current status and the name of the assigned examiner. [BR-05]</w:t>
      </w:r>
    </w:p>
    <w:p>
      <w:pPr>
        <w:pStyle w:val="Heading2"/>
      </w:pPr>
      <w:r>
        <w:t>Plans Examiner</w:t>
      </w:r>
    </w:p>
    <w:p>
      <w:pPr>
        <w:pStyle w:val="ListBullet"/>
      </w:pPr>
      <w:r>
        <w:t>FR-2.1 The system shall place a new application in the review queue within five minutes of payment. [BR-03]</w:t>
      </w:r>
    </w:p>
    <w:p>
      <w:pPr>
        <w:pStyle w:val="ListBullet"/>
      </w:pPr>
      <w:r>
        <w:t>FR-2.2 The system shall let examiners mark up drawings and return comments to the applicant. [BR-04]</w:t>
      </w:r>
    </w:p>
    <w:p>
      <w:pPr>
        <w:pStyle w:val="ListBullet"/>
      </w:pPr>
      <w:r>
        <w:t>FR-2.3 The system shall write the decision and its conditions to PermitTrack. [BR-03]</w:t>
      </w:r>
    </w:p>
    <w:p>
      <w:pPr>
        <w:pStyle w:val="Heading2"/>
      </w:pPr>
      <w:r>
        <w:t>Inspector</w:t>
      </w:r>
    </w:p>
    <w:p>
      <w:pPr>
        <w:pStyle w:val="ListBullet"/>
      </w:pPr>
      <w:r>
        <w:t>FR-3.1 The system shall let applicants pick an inspection slot from the inspectors' open calendar. [BR-06]</w:t>
      </w:r>
    </w:p>
    <w:p>
      <w:pPr>
        <w:pStyle w:val="ListBullet"/>
      </w:pPr>
      <w:r>
        <w:t>FR-3.2 The system shall send each inspector the day's inspections in the InspectorGo tablet app. [BR-07]</w:t>
      </w:r>
    </w:p>
    <w:p>
      <w:pPr>
        <w:pStyle w:val="ListBullet"/>
      </w:pPr>
      <w:r>
        <w:t>FR-3.3 The system shall email the result to the applicant when the inspector closes the inspection. [BR-07]</w:t>
      </w:r>
    </w:p>
    <w:p>
      <w:pPr>
        <w:pStyle w:val="Heading2"/>
      </w:pPr>
      <w:r>
        <w:t>Business Rules</w:t>
      </w:r>
    </w:p>
    <w:tbl>
      <w:tblPr>
        <w:tblStyle w:val="TableGrid"/>
        <w:tblW w:type="auto" w:w="0"/>
        <w:tblLook w:firstColumn="1" w:firstRow="1" w:lastColumn="0" w:lastRow="0" w:noHBand="0" w:noVBand="1" w:val="04A0"/>
      </w:tblPr>
      <w:tblGrid>
        <w:gridCol w:w="4320"/>
        <w:gridCol w:w="4320"/>
      </w:tblGrid>
      <w:tr>
        <w:tc>
          <w:tcPr>
            <w:tcW w:type="dxa" w:w="4320"/>
          </w:tcPr>
          <w:p>
            <w:r>
              <w:t>Rule</w:t>
            </w:r>
          </w:p>
        </w:tc>
        <w:tc>
          <w:tcPr>
            <w:tcW w:type="dxa" w:w="4320"/>
          </w:tcPr>
          <w:p>
            <w:r>
              <w:t>Description</w:t>
            </w:r>
          </w:p>
        </w:tc>
      </w:tr>
      <w:tr>
        <w:tc>
          <w:tcPr>
            <w:tcW w:type="dxa" w:w="4320"/>
          </w:tcPr>
          <w:p>
            <w:r>
              <w:t>BRL-01</w:t>
            </w:r>
          </w:p>
        </w:tc>
        <w:tc>
          <w:tcPr>
            <w:tcW w:type="dxa" w:w="4320"/>
          </w:tcPr>
          <w:p>
            <w:r>
              <w:t>A deck more than 60 cm above ground needs a structural drawing.</w:t>
            </w:r>
          </w:p>
        </w:tc>
      </w:tr>
      <w:tr>
        <w:tc>
          <w:tcPr>
            <w:tcW w:type="dxa" w:w="4320"/>
          </w:tcPr>
          <w:p>
            <w:r>
              <w:t>BRL-02</w:t>
            </w:r>
          </w:p>
        </w:tc>
        <w:tc>
          <w:tcPr>
            <w:tcW w:type="dxa" w:w="4320"/>
          </w:tcPr>
          <w:p>
            <w:r>
              <w:t>An application is complete only when every required document is attached and the fee is paid.</w:t>
            </w:r>
          </w:p>
        </w:tc>
      </w:tr>
      <w:tr>
        <w:tc>
          <w:tcPr>
            <w:tcW w:type="dxa" w:w="4320"/>
          </w:tcPr>
          <w:p>
            <w:r>
              <w:t>BRL-03</w:t>
            </w:r>
          </w:p>
        </w:tc>
        <w:tc>
          <w:tcPr>
            <w:tcW w:type="dxa" w:w="4320"/>
          </w:tcPr>
          <w:p>
            <w:r>
              <w:t>Inspections must be booked by 3 pm on the previous working day.</w:t>
            </w:r>
          </w:p>
        </w:tc>
      </w:tr>
    </w:tbl>
    <w:p>
      <w:pPr>
        <w:pStyle w:val="Heading1"/>
      </w:pPr>
      <w:r>
        <w:t>Data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t>Data</w:t>
            </w:r>
          </w:p>
        </w:tc>
        <w:tc>
          <w:tcPr>
            <w:tcW w:type="dxa" w:w="2880"/>
          </w:tcPr>
          <w:p>
            <w:r>
              <w:t>Source</w:t>
            </w:r>
          </w:p>
        </w:tc>
        <w:tc>
          <w:tcPr>
            <w:tcW w:type="dxa" w:w="2880"/>
          </w:tcPr>
          <w:p>
            <w:r>
              <w:t>Retention</w:t>
            </w:r>
          </w:p>
        </w:tc>
      </w:tr>
      <w:tr>
        <w:tc>
          <w:tcPr>
            <w:tcW w:type="dxa" w:w="2880"/>
          </w:tcPr>
          <w:p>
            <w:r>
              <w:t>Permit application</w:t>
            </w:r>
          </w:p>
        </w:tc>
        <w:tc>
          <w:tcPr>
            <w:tcW w:type="dxa" w:w="2880"/>
          </w:tcPr>
          <w:p>
            <w:r>
              <w:t>Applicant</w:t>
            </w:r>
          </w:p>
        </w:tc>
        <w:tc>
          <w:tcPr>
            <w:tcW w:type="dxa" w:w="2880"/>
          </w:tcPr>
          <w:p>
            <w:r>
              <w:t>10 years after final inspection</w:t>
            </w:r>
          </w:p>
        </w:tc>
      </w:tr>
      <w:tr>
        <w:tc>
          <w:tcPr>
            <w:tcW w:type="dxa" w:w="2880"/>
          </w:tcPr>
          <w:p>
            <w:r>
              <w:t>Drawings</w:t>
            </w:r>
          </w:p>
        </w:tc>
        <w:tc>
          <w:tcPr>
            <w:tcW w:type="dxa" w:w="2880"/>
          </w:tcPr>
          <w:p>
            <w:r>
              <w:t>Applicant</w:t>
            </w:r>
          </w:p>
        </w:tc>
        <w:tc>
          <w:tcPr>
            <w:tcW w:type="dxa" w:w="2880"/>
          </w:tcPr>
          <w:p>
            <w:r>
              <w:t>Life of the building</w:t>
            </w:r>
          </w:p>
        </w:tc>
      </w:tr>
      <w:tr>
        <w:tc>
          <w:tcPr>
            <w:tcW w:type="dxa" w:w="2880"/>
          </w:tcPr>
          <w:p>
            <w:r>
              <w:t>Payment record</w:t>
            </w:r>
          </w:p>
        </w:tc>
        <w:tc>
          <w:tcPr>
            <w:tcW w:type="dxa" w:w="2880"/>
          </w:tcPr>
          <w:p>
            <w:r>
              <w:t>CityPay</w:t>
            </w:r>
          </w:p>
        </w:tc>
        <w:tc>
          <w:tcPr>
            <w:tcW w:type="dxa" w:w="2880"/>
          </w:tcPr>
          <w:p>
            <w:r>
              <w:t>7 years</w:t>
            </w:r>
          </w:p>
        </w:tc>
      </w:tr>
      <w:tr>
        <w:tc>
          <w:tcPr>
            <w:tcW w:type="dxa" w:w="2880"/>
          </w:tcPr>
          <w:p>
            <w:r>
              <w:t>Inspection result</w:t>
            </w:r>
          </w:p>
        </w:tc>
        <w:tc>
          <w:tcPr>
            <w:tcW w:type="dxa" w:w="2880"/>
          </w:tcPr>
          <w:p>
            <w:r>
              <w:t>Inspector</w:t>
            </w:r>
          </w:p>
        </w:tc>
        <w:tc>
          <w:tcPr>
            <w:tcW w:type="dxa" w:w="2880"/>
          </w:tcPr>
          <w:p>
            <w:r>
              <w:t>10 years after final inspection</w:t>
            </w:r>
          </w:p>
        </w:tc>
      </w:tr>
    </w:tbl>
    <w:p>
      <w:pPr>
        <w:pStyle w:val="Heading1"/>
      </w:pPr>
      <w:r>
        <w:t>Non-Functional Requirements</w:t>
      </w:r>
    </w:p>
    <w:p>
      <w:pPr>
        <w:pStyle w:val="Heading2"/>
      </w:pPr>
      <w:r>
        <w:t>Security</w:t>
      </w:r>
    </w:p>
    <w:p>
      <w:pPr>
        <w:pStyle w:val="ListBullet"/>
      </w:pPr>
      <w:r>
        <w:t>NFR-01 Card data shall be handled only by CityPay; the portal shall not store card numbers.</w:t>
      </w:r>
    </w:p>
    <w:p>
      <w:pPr>
        <w:pStyle w:val="ListBullet"/>
      </w:pPr>
      <w:r>
        <w:t>NFR-02 Staff shall sign in with their city network account.</w:t>
      </w:r>
    </w:p>
    <w:p>
      <w:pPr>
        <w:pStyle w:val="Heading2"/>
      </w:pPr>
      <w:r>
        <w:t>Availability</w:t>
      </w:r>
    </w:p>
    <w:p>
      <w:pPr>
        <w:pStyle w:val="ListBullet"/>
      </w:pPr>
      <w:r>
        <w:t>NFR-03 The portal shall be available 99.5% of each month outside the Sunday 01:00 to 05:00 maintenance window.</w:t>
      </w:r>
    </w:p>
    <w:p>
      <w:pPr>
        <w:pStyle w:val="Heading2"/>
      </w:pPr>
      <w:r>
        <w:t>Usability</w:t>
      </w:r>
    </w:p>
    <w:p>
      <w:pPr>
        <w:pStyle w:val="ListBullet"/>
      </w:pPr>
      <w:r>
        <w:t>NFR-04 Every public page shall meet WCAG 2.2 level AA.</w:t>
      </w:r>
    </w:p>
    <w:p>
      <w:pPr>
        <w:pStyle w:val="ListBullet"/>
      </w:pPr>
      <w:r>
        <w:t>NFR-05 The application form shall be usable on a phone.</w:t>
      </w:r>
    </w:p>
    <w:p>
      <w:pPr>
        <w:pStyle w:val="Heading2"/>
      </w:pPr>
      <w:r>
        <w:t>Performance</w:t>
      </w:r>
    </w:p>
    <w:p>
      <w:pPr>
        <w:pStyle w:val="ListBullet"/>
      </w:pPr>
      <w:r>
        <w:t>NFR-06 A 50 MB drawing shall upload in under two minutes on a 10 Mbit/s connection.</w:t>
      </w:r>
    </w:p>
    <w:p>
      <w:pPr>
        <w:pStyle w:val="Heading1"/>
      </w:pPr>
      <w:r>
        <w:t>Interface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t>Connected system</w:t>
            </w:r>
          </w:p>
        </w:tc>
        <w:tc>
          <w:tcPr>
            <w:tcW w:type="dxa" w:w="2880"/>
          </w:tcPr>
          <w:p>
            <w:r>
              <w:t>Direction</w:t>
            </w:r>
          </w:p>
        </w:tc>
        <w:tc>
          <w:tcPr>
            <w:tcW w:type="dxa" w:w="2880"/>
          </w:tcPr>
          <w:p>
            <w:r>
              <w:t>Data exchanged</w:t>
            </w:r>
          </w:p>
        </w:tc>
      </w:tr>
      <w:tr>
        <w:tc>
          <w:tcPr>
            <w:tcW w:type="dxa" w:w="2880"/>
          </w:tcPr>
          <w:p>
            <w:r>
              <w:t>PermitTrack</w:t>
            </w:r>
          </w:p>
        </w:tc>
        <w:tc>
          <w:tcPr>
            <w:tcW w:type="dxa" w:w="2880"/>
          </w:tcPr>
          <w:p>
            <w:r>
              <w:t>Both ways</w:t>
            </w:r>
          </w:p>
        </w:tc>
        <w:tc>
          <w:tcPr>
            <w:tcW w:type="dxa" w:w="2880"/>
          </w:tcPr>
          <w:p>
            <w:r>
              <w:t>Permit records, decisions and conditions</w:t>
            </w:r>
          </w:p>
        </w:tc>
      </w:tr>
      <w:tr>
        <w:tc>
          <w:tcPr>
            <w:tcW w:type="dxa" w:w="2880"/>
          </w:tcPr>
          <w:p>
            <w:r>
              <w:t>CityPay</w:t>
            </w:r>
          </w:p>
        </w:tc>
        <w:tc>
          <w:tcPr>
            <w:tcW w:type="dxa" w:w="2880"/>
          </w:tcPr>
          <w:p>
            <w:r>
              <w:t>Outbound</w:t>
            </w:r>
          </w:p>
        </w:tc>
        <w:tc>
          <w:tcPr>
            <w:tcW w:type="dxa" w:w="2880"/>
          </w:tcPr>
          <w:p>
            <w:r>
              <w:t>Fee amounts and payment confirmations</w:t>
            </w:r>
          </w:p>
        </w:tc>
      </w:tr>
      <w:tr>
        <w:tc>
          <w:tcPr>
            <w:tcW w:type="dxa" w:w="2880"/>
          </w:tcPr>
          <w:p>
            <w:r>
              <w:t>InspectorGo</w:t>
            </w:r>
          </w:p>
        </w:tc>
        <w:tc>
          <w:tcPr>
            <w:tcW w:type="dxa" w:w="2880"/>
          </w:tcPr>
          <w:p>
            <w:r>
              <w:t>Both ways</w:t>
            </w:r>
          </w:p>
        </w:tc>
        <w:tc>
          <w:tcPr>
            <w:tcW w:type="dxa" w:w="2880"/>
          </w:tcPr>
          <w:p>
            <w:r>
              <w:t>Inspection lists and results</w:t>
            </w:r>
          </w:p>
        </w:tc>
      </w:tr>
      <w:tr>
        <w:tc>
          <w:tcPr>
            <w:tcW w:type="dxa" w:w="2880"/>
          </w:tcPr>
          <w:p>
            <w:r>
              <w:t>Parcel Registry</w:t>
            </w:r>
          </w:p>
        </w:tc>
        <w:tc>
          <w:tcPr>
            <w:tcW w:type="dxa" w:w="2880"/>
          </w:tcPr>
          <w:p>
            <w:r>
              <w:t>Inbound</w:t>
            </w:r>
          </w:p>
        </w:tc>
        <w:tc>
          <w:tcPr>
            <w:tcW w:type="dxa" w:w="2880"/>
          </w:tcPr>
          <w:p>
            <w:r>
              <w:t>Parcel number, zoning and owner name</w:t>
            </w:r>
          </w:p>
        </w:tc>
      </w:tr>
    </w:tbl>
    <w:p>
      <w:pPr>
        <w:pStyle w:val="Heading1"/>
      </w:pPr>
      <w:r>
        <w:t>Project Constraints</w:t>
      </w:r>
    </w:p>
    <w:p>
      <w:pPr>
        <w:pStyle w:val="ListBullet"/>
      </w:pPr>
      <w:r>
        <w:t>Residential permits must be live before the counter lease ends in June 2027.</w:t>
      </w:r>
    </w:p>
    <w:p>
      <w:pPr>
        <w:pStyle w:val="ListBullet"/>
      </w:pPr>
      <w:r>
        <w:t>The capital budget is capped at $650,000.</w:t>
      </w:r>
    </w:p>
    <w:p>
      <w:pPr>
        <w:pStyle w:val="ListBullet"/>
      </w:pPr>
      <w:r>
        <w:t>PermitTrack stays the system of record and cannot be replaced in this project.</w:t>
      </w:r>
    </w:p>
    <w:p>
      <w:pPr>
        <w:pStyle w:val="Heading1"/>
      </w:pPr>
      <w:r>
        <w:t>Assumptions and Dependencies</w:t>
      </w:r>
    </w:p>
    <w:p>
      <w:pPr>
        <w:pStyle w:val="Heading2"/>
      </w:pPr>
      <w:r>
        <w:t>Assumptions</w:t>
      </w:r>
    </w:p>
    <w:p>
      <w:pPr>
        <w:pStyle w:val="ListBullet"/>
      </w:pPr>
      <w:r>
        <w:t>Most applicants have an email address and can scan or photograph their drawings.</w:t>
      </w:r>
    </w:p>
    <w:p>
      <w:pPr>
        <w:pStyle w:val="ListBullet"/>
      </w:pPr>
      <w:r>
        <w:t>The PermitTrack vendor provides an integration interface at no extra cost.</w:t>
      </w:r>
    </w:p>
    <w:p>
      <w:pPr>
        <w:pStyle w:val="Heading2"/>
      </w:pPr>
      <w:r>
        <w:t>Dependencies</w:t>
      </w:r>
    </w:p>
    <w:p>
      <w:pPr>
        <w:pStyle w:val="ListBullet"/>
      </w:pPr>
      <w:r>
        <w:t>The CityPay upgrade to version 4, scheduled by Finance for March 2027.</w:t>
      </w:r>
    </w:p>
    <w:p>
      <w:pPr>
        <w:pStyle w:val="ListBullet"/>
      </w:pPr>
      <w:r>
        <w:t>Mobile network coverage for inspector tablets in the rural north district.</w:t>
      </w:r>
    </w:p>
    <w:p>
      <w:pPr>
        <w:pStyle w:val="Heading1"/>
      </w:pPr>
      <w:r>
        <w:t>Cost-Benefit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Type</w:t>
            </w:r>
          </w:p>
        </w:tc>
        <w:tc>
          <w:tcPr>
            <w:tcW w:type="dxa" w:w="2880"/>
          </w:tcPr>
          <w:p>
            <w:r>
              <w:t>Amount (USD)</w:t>
            </w:r>
          </w:p>
        </w:tc>
      </w:tr>
      <w:tr>
        <w:tc>
          <w:tcPr>
            <w:tcW w:type="dxa" w:w="2880"/>
          </w:tcPr>
          <w:p>
            <w:r>
              <w:t>Portal software licence, first three years</w:t>
            </w:r>
          </w:p>
        </w:tc>
        <w:tc>
          <w:tcPr>
            <w:tcW w:type="dxa" w:w="2880"/>
          </w:tcPr>
          <w:p>
            <w:r>
              <w:t>Cost</w:t>
            </w:r>
          </w:p>
        </w:tc>
        <w:tc>
          <w:tcPr>
            <w:tcW w:type="dxa" w:w="2880"/>
          </w:tcPr>
          <w:p>
            <w:r>
              <w:t>180,000</w:t>
            </w:r>
          </w:p>
        </w:tc>
      </w:tr>
      <w:tr>
        <w:tc>
          <w:tcPr>
            <w:tcW w:type="dxa" w:w="2880"/>
          </w:tcPr>
          <w:p>
            <w:r>
              <w:t>Implementation and integration services</w:t>
            </w:r>
          </w:p>
        </w:tc>
        <w:tc>
          <w:tcPr>
            <w:tcW w:type="dxa" w:w="2880"/>
          </w:tcPr>
          <w:p>
            <w:r>
              <w:t>Cost</w:t>
            </w:r>
          </w:p>
        </w:tc>
        <w:tc>
          <w:tcPr>
            <w:tcW w:type="dxa" w:w="2880"/>
          </w:tcPr>
          <w:p>
            <w:r>
              <w:t>390,000</w:t>
            </w:r>
          </w:p>
        </w:tc>
      </w:tr>
      <w:tr>
        <w:tc>
          <w:tcPr>
            <w:tcW w:type="dxa" w:w="2880"/>
          </w:tcPr>
          <w:p>
            <w:r>
              <w:t>Staff training</w:t>
            </w:r>
          </w:p>
        </w:tc>
        <w:tc>
          <w:tcPr>
            <w:tcW w:type="dxa" w:w="2880"/>
          </w:tcPr>
          <w:p>
            <w:r>
              <w:t>Cost</w:t>
            </w:r>
          </w:p>
        </w:tc>
        <w:tc>
          <w:tcPr>
            <w:tcW w:type="dxa" w:w="2880"/>
          </w:tcPr>
          <w:p>
            <w:r>
              <w:t>35,000</w:t>
            </w:r>
          </w:p>
        </w:tc>
      </w:tr>
      <w:tr>
        <w:tc>
          <w:tcPr>
            <w:tcW w:type="dxa" w:w="2880"/>
          </w:tcPr>
          <w:p>
            <w:r>
              <w:t>Counter staff time no longer spent re-keying</w:t>
            </w:r>
          </w:p>
        </w:tc>
        <w:tc>
          <w:tcPr>
            <w:tcW w:type="dxa" w:w="2880"/>
          </w:tcPr>
          <w:p>
            <w:r>
              <w:t>Benefit</w:t>
            </w:r>
          </w:p>
        </w:tc>
        <w:tc>
          <w:tcPr>
            <w:tcW w:type="dxa" w:w="2880"/>
          </w:tcPr>
          <w:p>
            <w:r>
              <w:t>95,000 per year</w:t>
            </w:r>
          </w:p>
        </w:tc>
      </w:tr>
      <w:tr>
        <w:tc>
          <w:tcPr>
            <w:tcW w:type="dxa" w:w="2880"/>
          </w:tcPr>
          <w:p>
            <w:r>
              <w:t>Printing and courier of paper drawings</w:t>
            </w:r>
          </w:p>
        </w:tc>
        <w:tc>
          <w:tcPr>
            <w:tcW w:type="dxa" w:w="2880"/>
          </w:tcPr>
          <w:p>
            <w:r>
              <w:t>Benefit</w:t>
            </w:r>
          </w:p>
        </w:tc>
        <w:tc>
          <w:tcPr>
            <w:tcW w:type="dxa" w:w="2880"/>
          </w:tcPr>
          <w:p>
            <w:r>
              <w:t>22,000 per year</w:t>
            </w:r>
          </w:p>
        </w:tc>
      </w:tr>
    </w:tbl>
    <w:p>
      <w:r>
        <w:t>The $605,000 one-off cost is recovered in a little over five years from the yearly benefits alone, before counting faster permits for applicants.</w:t>
      </w:r>
    </w:p>
    <w:p>
      <w:pPr>
        <w:pStyle w:val="Heading1"/>
      </w:pPr>
      <w:r>
        <w:t>Glossary</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Meaning</w:t>
            </w:r>
          </w:p>
        </w:tc>
      </w:tr>
      <w:tr>
        <w:tc>
          <w:tcPr>
            <w:tcW w:type="dxa" w:w="4320"/>
          </w:tcPr>
          <w:p>
            <w:r>
              <w:t>Plans examiner</w:t>
            </w:r>
          </w:p>
        </w:tc>
        <w:tc>
          <w:tcPr>
            <w:tcW w:type="dxa" w:w="4320"/>
          </w:tcPr>
          <w:p>
            <w:r>
              <w:t>A staff member who checks drawings against the building code.</w:t>
            </w:r>
          </w:p>
        </w:tc>
      </w:tr>
      <w:tr>
        <w:tc>
          <w:tcPr>
            <w:tcW w:type="dxa" w:w="4320"/>
          </w:tcPr>
          <w:p>
            <w:r>
              <w:t>Permit record</w:t>
            </w:r>
          </w:p>
        </w:tc>
        <w:tc>
          <w:tcPr>
            <w:tcW w:type="dxa" w:w="4320"/>
          </w:tcPr>
          <w:p>
            <w:r>
              <w:t>The PermitTrack entry that holds a permit's full history.</w:t>
            </w:r>
          </w:p>
        </w:tc>
      </w:tr>
      <w:tr>
        <w:tc>
          <w:tcPr>
            <w:tcW w:type="dxa" w:w="4320"/>
          </w:tcPr>
          <w:p>
            <w:r>
              <w:t>Final inspection</w:t>
            </w:r>
          </w:p>
        </w:tc>
        <w:tc>
          <w:tcPr>
            <w:tcW w:type="dxa" w:w="4320"/>
          </w:tcPr>
          <w:p>
            <w:r>
              <w:t>The last inspection, after which the permit is closed.</w:t>
            </w:r>
          </w:p>
        </w:tc>
      </w:tr>
    </w:tbl>
    <w:p>
      <w:pPr>
        <w:pStyle w:val="Heading1"/>
      </w:pPr>
      <w:r>
        <w:t>Approval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Title</w:t>
            </w:r>
          </w:p>
        </w:tc>
        <w:tc>
          <w:tcPr>
            <w:tcW w:type="dxa" w:w="2160"/>
          </w:tcPr>
          <w:p>
            <w:r>
              <w:t>Signature</w:t>
            </w:r>
          </w:p>
        </w:tc>
        <w:tc>
          <w:tcPr>
            <w:tcW w:type="dxa" w:w="2160"/>
          </w:tcPr>
          <w:p>
            <w:r>
              <w:t>Date</w:t>
            </w:r>
          </w:p>
        </w:tc>
      </w:tr>
      <w:tr>
        <w:tc>
          <w:tcPr>
            <w:tcW w:type="dxa" w:w="2160"/>
          </w:tcPr>
          <w:p>
            <w:r>
              <w:t>Thomas Reyes</w:t>
            </w:r>
          </w:p>
        </w:tc>
        <w:tc>
          <w:tcPr>
            <w:tcW w:type="dxa" w:w="2160"/>
          </w:tcPr>
          <w:p>
            <w:r>
              <w:t>Chief Building Official</w:t>
            </w:r>
          </w:p>
        </w:tc>
        <w:tc>
          <w:tcPr>
            <w:tcW w:type="dxa" w:w="2160"/>
          </w:tcPr>
          <w:p>
            <w:r>
              <w:t>Thomas Reyes</w:t>
            </w:r>
          </w:p>
        </w:tc>
        <w:tc>
          <w:tcPr>
            <w:tcW w:type="dxa" w:w="2160"/>
          </w:tcPr>
          <w:p>
            <w:r>
              <w:t>2026-09-18</w:t>
            </w:r>
          </w:p>
        </w:tc>
      </w:tr>
      <w:tr>
        <w:tc>
          <w:tcPr>
            <w:tcW w:type="dxa" w:w="2160"/>
          </w:tcPr>
          <w:p>
            <w:r>
              <w:t>Sandra Cole</w:t>
            </w:r>
          </w:p>
        </w:tc>
        <w:tc>
          <w:tcPr>
            <w:tcW w:type="dxa" w:w="2160"/>
          </w:tcPr>
          <w:p>
            <w:r>
              <w:t>Director of IT Services</w:t>
            </w:r>
          </w:p>
        </w:tc>
        <w:tc>
          <w:tcPr>
            <w:tcW w:type="dxa" w:w="2160"/>
          </w:tcPr>
          <w:p>
            <w:r/>
          </w:p>
        </w:tc>
        <w:tc>
          <w:tcPr>
            <w:tcW w:type="dxa" w:w="216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