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25" w:type="dxa"/>
        <w:jc w:val="center"/>
        <w:tblBorders>
          <w:insideH w:val="single" w:sz="4" w:space="0" w:color="auto"/>
          <w:insideV w:val="single" w:sz="4" w:space="0" w:color="auto"/>
        </w:tblBorders>
        <w:tblLook w:val="01E0" w:firstRow="1" w:lastRow="1" w:firstColumn="1" w:lastColumn="1" w:noHBand="0" w:noVBand="0"/>
      </w:tblPr>
      <w:tblGrid>
        <w:gridCol w:w="2667"/>
        <w:gridCol w:w="4061"/>
        <w:gridCol w:w="2297"/>
      </w:tblGrid>
      <w:tr w:rsidR="00911084" w14:paraId="4D88ABBC" w14:textId="77777777">
        <w:trPr>
          <w:trHeight w:val="1287"/>
          <w:jc w:val="center"/>
        </w:trPr>
        <w:tc>
          <w:tcPr>
            <w:tcW w:w="2667" w:type="dxa"/>
            <w:tcBorders>
              <w:top w:val="nil"/>
              <w:bottom w:val="nil"/>
              <w:right w:val="nil"/>
            </w:tcBorders>
            <w:hideMark/>
          </w:tcPr>
          <w:p w14:paraId="31C7BB01" w14:textId="77777777" w:rsidR="00911084" w:rsidRDefault="001C42BF">
            <w:pPr>
              <w:ind w:hanging="10"/>
              <w:jc w:val="left"/>
            </w:pPr>
            <w:r>
              <w:rPr>
                <w:noProof/>
                <w:lang w:val="ru-RU" w:eastAsia="ru-RU"/>
              </w:rPr>
              <mc:AlternateContent>
                <mc:Choice Requires="wps">
                  <w:drawing>
                    <wp:anchor distT="0" distB="0" distL="114300" distR="114300" simplePos="0" relativeHeight="251657728" behindDoc="0" locked="0" layoutInCell="1" allowOverlap="1" wp14:anchorId="77A31569" wp14:editId="467950FC">
                      <wp:simplePos x="0" y="0"/>
                      <wp:positionH relativeFrom="column">
                        <wp:posOffset>-82550</wp:posOffset>
                      </wp:positionH>
                      <wp:positionV relativeFrom="paragraph">
                        <wp:posOffset>621030</wp:posOffset>
                      </wp:positionV>
                      <wp:extent cx="5756910" cy="0"/>
                      <wp:effectExtent l="0" t="0" r="0" b="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569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45721" id="Line 1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48.9pt" to="44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"/>
                  </w:pict>
                </mc:Fallback>
              </mc:AlternateContent>
            </w:r>
          </w:p>
        </w:tc>
        <w:tc>
          <w:tcPr>
            <w:tcW w:w="4061" w:type="dxa"/>
            <w:tcBorders>
              <w:left w:val="nil"/>
              <w:right w:val="nil"/>
            </w:tcBorders>
            <w:hideMark/>
          </w:tcPr>
          <w:p w14:paraId="565DF558" w14:textId="77777777" w:rsidR="00911084" w:rsidRDefault="001C42BF">
            <w:pPr>
              <w:jc w:val="left"/>
            </w:pPr>
            <w:r>
              <w:rPr>
                <w:noProof/>
                <w:lang w:val="ru-RU" w:eastAsia="ru-RU"/>
              </w:rPr>
              <w:drawing>
                <wp:inline distT="0" distB="0" distL="0" distR="0" wp14:anchorId="3724A67E" wp14:editId="14140C8A">
                  <wp:extent cx="2441575" cy="707390"/>
                  <wp:effectExtent l="0" t="0" r="0" b="0"/>
                  <wp:docPr id="1" name="Picture 1" descr="IMO-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O-logo-rg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1575" cy="707390"/>
                          </a:xfrm>
                          <a:prstGeom prst="rect">
                            <a:avLst/>
                          </a:prstGeom>
                          <a:noFill/>
                          <a:ln>
                            <a:noFill/>
                          </a:ln>
                        </pic:spPr>
                      </pic:pic>
                    </a:graphicData>
                  </a:graphic>
                </wp:inline>
              </w:drawing>
            </w:r>
          </w:p>
        </w:tc>
        <w:tc>
          <w:tcPr>
            <w:tcW w:w="2297" w:type="dxa"/>
            <w:tcBorders>
              <w:top w:val="nil"/>
              <w:left w:val="nil"/>
              <w:bottom w:val="nil"/>
            </w:tcBorders>
            <w:hideMark/>
          </w:tcPr>
          <w:p w14:paraId="6D9A24F5" w14:textId="77777777" w:rsidR="00911084" w:rsidRDefault="001C42BF">
            <w:pPr>
              <w:jc w:val="right"/>
            </w:pPr>
            <w:r>
              <w:rPr>
                <w:b/>
                <w:i/>
                <w:sz w:val="48"/>
                <w:szCs w:val="48"/>
              </w:rPr>
              <w:t>E</w:t>
            </w:r>
          </w:p>
        </w:tc>
      </w:tr>
    </w:tbl>
    <w:p w14:paraId="0F313852" w14:textId="77777777" w:rsidR="00911084" w:rsidRDefault="00911084">
      <w:bookmarkStart w:id="0" w:name="headings"/>
      <w:bookmarkEnd w:id="0"/>
    </w:p>
    <w:tbl>
      <w:tblPr>
        <w:tblW w:w="9157" w:type="dxa"/>
        <w:jc w:val="center"/>
        <w:tblLayout w:type="fixed"/>
        <w:tblCellMar>
          <w:left w:w="60" w:type="dxa"/>
          <w:right w:w="60" w:type="dxa"/>
        </w:tblCellMar>
        <w:tblLook w:val="0000" w:firstRow="0" w:lastRow="0" w:firstColumn="0" w:lastColumn="0" w:noHBand="0" w:noVBand="0"/>
      </w:tblPr>
      <w:tblGrid>
        <w:gridCol w:w="4692"/>
        <w:gridCol w:w="4465"/>
      </w:tblGrid>
      <w:tr w:rsidR="00D26721" w:rsidRPr="004B4E0E" w14:paraId="278FFBF2" w14:textId="77777777" w:rsidTr="00AF602F">
        <w:trPr>
          <w:jc w:val="center"/>
        </w:trPr>
        <w:tc>
          <w:tcPr>
            <w:tcW w:w="4692" w:type="dxa"/>
          </w:tcPr>
          <w:p w14:paraId="593BF24A" w14:textId="77777777" w:rsidR="00D26721" w:rsidRPr="00891458" w:rsidRDefault="00D26721" w:rsidP="00AF602F">
            <w:pPr>
              <w:spacing w:line="120" w:lineRule="exact"/>
              <w:jc w:val="left"/>
              <w:rPr>
                <w:lang w:val="ru-RU"/>
              </w:rPr>
            </w:pPr>
          </w:p>
          <w:p w14:paraId="6BCADBC5" w14:textId="77777777" w:rsidR="00D26721" w:rsidRPr="00C57927" w:rsidRDefault="00D26721" w:rsidP="00AF602F">
            <w:pPr>
              <w:jc w:val="left"/>
              <w:rPr>
                <w:lang w:val="ru-RU"/>
              </w:rPr>
            </w:pPr>
            <w:bookmarkStart w:id="1" w:name="sub_committee"/>
            <w:bookmarkStart w:id="2" w:name="session"/>
            <w:bookmarkEnd w:id="1"/>
            <w:bookmarkEnd w:id="2"/>
            <w:r>
              <w:rPr>
                <w:lang w:val="ru-RU"/>
              </w:rPr>
              <w:t>Комитет по безопасности на море</w:t>
            </w:r>
          </w:p>
          <w:p w14:paraId="605DFB11" w14:textId="099D7551" w:rsidR="00D26721" w:rsidRPr="00C57927" w:rsidRDefault="00D26721" w:rsidP="00AF602F">
            <w:pPr>
              <w:jc w:val="left"/>
              <w:rPr>
                <w:lang w:val="ru-RU"/>
              </w:rPr>
            </w:pPr>
            <w:r w:rsidRPr="00C57927">
              <w:rPr>
                <w:lang w:val="ru-RU"/>
              </w:rPr>
              <w:t>10</w:t>
            </w:r>
            <w:r w:rsidR="00DE3D6F" w:rsidRPr="00453131">
              <w:rPr>
                <w:lang w:val="ru-RU"/>
              </w:rPr>
              <w:t>3</w:t>
            </w:r>
            <w:r w:rsidRPr="00C57927">
              <w:rPr>
                <w:lang w:val="ru-RU"/>
              </w:rPr>
              <w:t xml:space="preserve"> </w:t>
            </w:r>
            <w:r>
              <w:rPr>
                <w:lang w:val="ru-RU"/>
              </w:rPr>
              <w:t>сессия</w:t>
            </w:r>
            <w:r w:rsidRPr="00C57927">
              <w:rPr>
                <w:lang w:val="ru-RU"/>
              </w:rPr>
              <w:t xml:space="preserve"> </w:t>
            </w:r>
          </w:p>
          <w:p w14:paraId="1075A79A" w14:textId="77777777" w:rsidR="00D26721" w:rsidRPr="005110A2" w:rsidRDefault="00D26721" w:rsidP="00AF602F">
            <w:pPr>
              <w:spacing w:after="58"/>
              <w:jc w:val="left"/>
              <w:rPr>
                <w:lang w:val="en-US"/>
              </w:rPr>
            </w:pPr>
            <w:r>
              <w:rPr>
                <w:lang w:val="ru-RU"/>
              </w:rPr>
              <w:t>Пункт повестки дня</w:t>
            </w:r>
            <w:r>
              <w:t xml:space="preserve"> </w:t>
            </w:r>
            <w:bookmarkStart w:id="3" w:name="agenda"/>
            <w:bookmarkEnd w:id="3"/>
            <w:r w:rsidRPr="005110A2">
              <w:rPr>
                <w:lang w:val="en-US"/>
              </w:rPr>
              <w:t>5</w:t>
            </w:r>
          </w:p>
        </w:tc>
        <w:tc>
          <w:tcPr>
            <w:tcW w:w="4465" w:type="dxa"/>
          </w:tcPr>
          <w:p w14:paraId="0CAB6C0E" w14:textId="77777777" w:rsidR="00D26721" w:rsidRPr="00891458" w:rsidRDefault="00D26721" w:rsidP="00AF602F">
            <w:pPr>
              <w:spacing w:line="120" w:lineRule="exact"/>
              <w:jc w:val="right"/>
              <w:rPr>
                <w:lang w:val="ru-RU"/>
              </w:rPr>
            </w:pPr>
          </w:p>
          <w:p w14:paraId="275D15E7" w14:textId="77777777" w:rsidR="00D26721" w:rsidRPr="00891458" w:rsidRDefault="00D26721" w:rsidP="00AF602F">
            <w:pPr>
              <w:tabs>
                <w:tab w:val="clear" w:pos="851"/>
              </w:tabs>
              <w:jc w:val="right"/>
              <w:rPr>
                <w:lang w:val="ru-RU"/>
              </w:rPr>
            </w:pPr>
            <w:bookmarkStart w:id="4" w:name="symbol"/>
            <w:bookmarkEnd w:id="4"/>
            <w:r>
              <w:t>Document</w:t>
            </w:r>
            <w:r w:rsidRPr="00891458">
              <w:rPr>
                <w:lang w:val="ru-RU"/>
              </w:rPr>
              <w:t xml:space="preserve"> </w:t>
            </w:r>
            <w:r>
              <w:t>Symbol</w:t>
            </w:r>
          </w:p>
          <w:p w14:paraId="391DF6F7" w14:textId="103D1527" w:rsidR="00D26721" w:rsidRPr="001B4421" w:rsidRDefault="00D26721" w:rsidP="00AF602F">
            <w:pPr>
              <w:tabs>
                <w:tab w:val="clear" w:pos="851"/>
              </w:tabs>
              <w:jc w:val="right"/>
              <w:rPr>
                <w:lang w:val="ru-RU"/>
              </w:rPr>
            </w:pPr>
            <w:bookmarkStart w:id="5" w:name="date"/>
            <w:bookmarkEnd w:id="5"/>
            <w:r>
              <w:rPr>
                <w:lang w:val="ru-RU"/>
              </w:rPr>
              <w:t>Дата документа</w:t>
            </w:r>
            <w:r w:rsidRPr="00C57927">
              <w:rPr>
                <w:lang w:val="ru-RU"/>
              </w:rPr>
              <w:t xml:space="preserve"> </w:t>
            </w:r>
            <w:r w:rsidR="00453131" w:rsidRPr="001B4421">
              <w:rPr>
                <w:lang w:val="ru-RU"/>
              </w:rPr>
              <w:t>____________</w:t>
            </w:r>
          </w:p>
          <w:p w14:paraId="4D983679" w14:textId="77777777" w:rsidR="00D26721" w:rsidRPr="00D26721" w:rsidRDefault="00D26721" w:rsidP="00AF602F">
            <w:pPr>
              <w:tabs>
                <w:tab w:val="clear" w:pos="851"/>
              </w:tabs>
              <w:spacing w:after="58"/>
              <w:ind w:left="-924"/>
              <w:jc w:val="right"/>
              <w:rPr>
                <w:lang w:val="ru-RU"/>
              </w:rPr>
            </w:pPr>
            <w:bookmarkStart w:id="6" w:name="language"/>
            <w:bookmarkEnd w:id="6"/>
            <w:r>
              <w:rPr>
                <w:lang w:val="ru-RU"/>
              </w:rPr>
              <w:t>Язык</w:t>
            </w:r>
            <w:r w:rsidRPr="00D26721">
              <w:rPr>
                <w:lang w:val="ru-RU"/>
              </w:rPr>
              <w:t xml:space="preserve"> </w:t>
            </w:r>
            <w:r>
              <w:rPr>
                <w:lang w:val="ru-RU"/>
              </w:rPr>
              <w:t>оригинала</w:t>
            </w:r>
            <w:r w:rsidRPr="00D26721">
              <w:rPr>
                <w:lang w:val="ru-RU"/>
              </w:rPr>
              <w:t xml:space="preserve">: </w:t>
            </w:r>
            <w:r>
              <w:rPr>
                <w:lang w:val="ru-RU"/>
              </w:rPr>
              <w:t>английский</w:t>
            </w:r>
          </w:p>
          <w:p w14:paraId="636EAA81" w14:textId="77777777" w:rsidR="00D26721" w:rsidRPr="00D26721" w:rsidRDefault="00D26721" w:rsidP="00AF602F">
            <w:pPr>
              <w:tabs>
                <w:tab w:val="clear" w:pos="851"/>
              </w:tabs>
              <w:spacing w:after="58"/>
              <w:ind w:left="-924"/>
              <w:jc w:val="right"/>
              <w:rPr>
                <w:lang w:val="ru-RU"/>
              </w:rPr>
            </w:pPr>
          </w:p>
        </w:tc>
      </w:tr>
    </w:tbl>
    <w:p w14:paraId="59C127AA" w14:textId="77777777" w:rsidR="00D26721" w:rsidRPr="00D26721" w:rsidRDefault="00D26721" w:rsidP="00D26721">
      <w:pPr>
        <w:tabs>
          <w:tab w:val="clear" w:pos="851"/>
        </w:tabs>
        <w:rPr>
          <w:lang w:val="ru-RU"/>
        </w:rPr>
      </w:pPr>
    </w:p>
    <w:p w14:paraId="621B79CD" w14:textId="77777777" w:rsidR="00D26721" w:rsidRPr="00C57927" w:rsidRDefault="00D26721" w:rsidP="00D26721">
      <w:pPr>
        <w:tabs>
          <w:tab w:val="clear" w:pos="851"/>
        </w:tabs>
        <w:jc w:val="center"/>
        <w:rPr>
          <w:rFonts w:ascii="Arial Bold" w:hAnsi="Arial Bold"/>
          <w:b/>
          <w:caps/>
          <w:lang w:val="ru-RU"/>
        </w:rPr>
      </w:pPr>
      <w:r>
        <w:rPr>
          <w:rFonts w:ascii="Arial Bold" w:hAnsi="Arial Bold"/>
          <w:b/>
          <w:caps/>
          <w:lang w:val="ru-RU"/>
        </w:rPr>
        <w:t>Разработка регулятивных основ для использования</w:t>
      </w:r>
    </w:p>
    <w:p w14:paraId="531C8D88" w14:textId="77777777" w:rsidR="00D26721" w:rsidRPr="00953733" w:rsidRDefault="00D26721" w:rsidP="00D26721">
      <w:pPr>
        <w:tabs>
          <w:tab w:val="clear" w:pos="851"/>
        </w:tabs>
        <w:jc w:val="center"/>
        <w:rPr>
          <w:b/>
          <w:lang w:val="ru-RU"/>
        </w:rPr>
      </w:pPr>
      <w:r>
        <w:rPr>
          <w:rFonts w:ascii="Arial Bold" w:hAnsi="Arial Bold"/>
          <w:b/>
          <w:caps/>
          <w:lang w:val="ru-RU"/>
        </w:rPr>
        <w:t>морских автономных надводных судов</w:t>
      </w:r>
      <w:r w:rsidRPr="00953733">
        <w:rPr>
          <w:rFonts w:ascii="Arial Bold" w:hAnsi="Arial Bold"/>
          <w:b/>
          <w:caps/>
          <w:lang w:val="ru-RU"/>
        </w:rPr>
        <w:t xml:space="preserve"> (</w:t>
      </w:r>
      <w:r>
        <w:rPr>
          <w:rFonts w:ascii="Arial Bold" w:hAnsi="Arial Bold"/>
          <w:b/>
          <w:caps/>
          <w:lang w:val="ru-RU"/>
        </w:rPr>
        <w:t>Манс</w:t>
      </w:r>
      <w:r w:rsidRPr="00953733">
        <w:rPr>
          <w:rFonts w:ascii="Arial Bold" w:hAnsi="Arial Bold"/>
          <w:b/>
          <w:caps/>
          <w:lang w:val="ru-RU"/>
        </w:rPr>
        <w:t>)</w:t>
      </w:r>
    </w:p>
    <w:p w14:paraId="096E6F01" w14:textId="77777777" w:rsidR="00D26721" w:rsidRPr="00953733" w:rsidRDefault="00D26721" w:rsidP="00D26721">
      <w:pPr>
        <w:tabs>
          <w:tab w:val="clear" w:pos="851"/>
        </w:tabs>
        <w:jc w:val="center"/>
        <w:rPr>
          <w:b/>
          <w:lang w:val="ru-RU"/>
        </w:rPr>
      </w:pPr>
    </w:p>
    <w:p w14:paraId="6CA52F9C" w14:textId="5BE8D886" w:rsidR="00D26721" w:rsidRPr="00DE3D6F" w:rsidRDefault="00DE3D6F" w:rsidP="00D26721">
      <w:pPr>
        <w:tabs>
          <w:tab w:val="clear" w:pos="851"/>
        </w:tabs>
        <w:jc w:val="center"/>
        <w:rPr>
          <w:b/>
          <w:lang w:val="ru-RU"/>
        </w:rPr>
      </w:pPr>
      <w:r>
        <w:rPr>
          <w:b/>
          <w:lang w:val="ru-RU"/>
        </w:rPr>
        <w:t>Комментарии к документ</w:t>
      </w:r>
      <w:r w:rsidR="00926633">
        <w:rPr>
          <w:b/>
          <w:lang w:val="ru-RU"/>
        </w:rPr>
        <w:t>у</w:t>
      </w:r>
      <w:r>
        <w:rPr>
          <w:b/>
          <w:lang w:val="ru-RU"/>
        </w:rPr>
        <w:t xml:space="preserve"> </w:t>
      </w:r>
      <w:r>
        <w:rPr>
          <w:b/>
          <w:lang w:val="en-US"/>
        </w:rPr>
        <w:t>MSC</w:t>
      </w:r>
      <w:r w:rsidRPr="00DE3D6F">
        <w:rPr>
          <w:b/>
          <w:lang w:val="ru-RU"/>
        </w:rPr>
        <w:t xml:space="preserve"> </w:t>
      </w:r>
      <w:r>
        <w:rPr>
          <w:b/>
          <w:lang w:val="ru-RU"/>
        </w:rPr>
        <w:t>102/5/</w:t>
      </w:r>
      <w:r w:rsidR="00453131" w:rsidRPr="00453131">
        <w:rPr>
          <w:b/>
          <w:lang w:val="ru-RU"/>
        </w:rPr>
        <w:t>1</w:t>
      </w:r>
      <w:r w:rsidR="00D625AD" w:rsidRPr="00D625AD">
        <w:rPr>
          <w:b/>
          <w:lang w:val="ru-RU"/>
        </w:rPr>
        <w:t>4</w:t>
      </w:r>
    </w:p>
    <w:p w14:paraId="182060FF" w14:textId="77777777" w:rsidR="00D26721" w:rsidRPr="00891458" w:rsidRDefault="00D26721" w:rsidP="00D26721">
      <w:pPr>
        <w:tabs>
          <w:tab w:val="clear" w:pos="851"/>
        </w:tabs>
        <w:jc w:val="center"/>
        <w:rPr>
          <w:b/>
          <w:lang w:val="ru-RU"/>
        </w:rPr>
      </w:pPr>
    </w:p>
    <w:p w14:paraId="2D35CAB7" w14:textId="77777777" w:rsidR="00D26721" w:rsidRPr="00953733" w:rsidRDefault="00D26721" w:rsidP="00D26721">
      <w:pPr>
        <w:tabs>
          <w:tab w:val="clear" w:pos="851"/>
        </w:tabs>
        <w:jc w:val="center"/>
        <w:rPr>
          <w:b/>
          <w:lang w:val="ru-RU"/>
        </w:rPr>
      </w:pPr>
      <w:r>
        <w:rPr>
          <w:b/>
          <w:lang w:val="ru-RU"/>
        </w:rPr>
        <w:t>Представлено Российской Федерацией</w:t>
      </w:r>
    </w:p>
    <w:p w14:paraId="42E90532" w14:textId="77777777" w:rsidR="00911084" w:rsidRPr="001B4421" w:rsidRDefault="00911084">
      <w:pPr>
        <w:tabs>
          <w:tab w:val="clear" w:pos="851"/>
        </w:tabs>
        <w:rPr>
          <w:lang w:val="ru-RU"/>
        </w:rPr>
      </w:pP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132" w:type="dxa"/>
          <w:right w:w="132" w:type="dxa"/>
        </w:tblCellMar>
        <w:tblLook w:val="0000" w:firstRow="0" w:lastRow="0" w:firstColumn="0" w:lastColumn="0" w:noHBand="0" w:noVBand="0"/>
      </w:tblPr>
      <w:tblGrid>
        <w:gridCol w:w="2245"/>
        <w:gridCol w:w="6755"/>
      </w:tblGrid>
      <w:tr w:rsidR="00911084" w14:paraId="11F2D79D" w14:textId="77777777">
        <w:trPr>
          <w:jc w:val="center"/>
        </w:trPr>
        <w:tc>
          <w:tcPr>
            <w:tcW w:w="9000" w:type="dxa"/>
            <w:gridSpan w:val="2"/>
            <w:tcMar>
              <w:top w:w="85" w:type="dxa"/>
              <w:left w:w="85" w:type="dxa"/>
              <w:bottom w:w="85" w:type="dxa"/>
              <w:right w:w="85" w:type="dxa"/>
            </w:tcMar>
          </w:tcPr>
          <w:p w14:paraId="00792230" w14:textId="77777777" w:rsidR="00911084" w:rsidRPr="001B4421" w:rsidRDefault="00911084">
            <w:pPr>
              <w:spacing w:line="120" w:lineRule="exact"/>
              <w:rPr>
                <w:bCs/>
                <w:lang w:val="ru-RU"/>
              </w:rPr>
            </w:pPr>
          </w:p>
          <w:p w14:paraId="422148CE" w14:textId="21BD3A65" w:rsidR="00911084" w:rsidRPr="00D26721" w:rsidRDefault="00D26721">
            <w:pPr>
              <w:tabs>
                <w:tab w:val="clear" w:pos="851"/>
              </w:tabs>
              <w:spacing w:after="58"/>
              <w:jc w:val="center"/>
              <w:rPr>
                <w:b/>
                <w:lang w:val="ru-RU"/>
              </w:rPr>
            </w:pPr>
            <w:r>
              <w:rPr>
                <w:b/>
                <w:lang w:val="ru-RU"/>
              </w:rPr>
              <w:t>СОДЕРЖАНИЕ</w:t>
            </w:r>
          </w:p>
        </w:tc>
      </w:tr>
      <w:tr w:rsidR="00911084" w:rsidRPr="004B4E0E" w14:paraId="130D27B8" w14:textId="77777777">
        <w:trPr>
          <w:jc w:val="center"/>
        </w:trPr>
        <w:tc>
          <w:tcPr>
            <w:tcW w:w="2245" w:type="dxa"/>
            <w:tcMar>
              <w:top w:w="85" w:type="dxa"/>
              <w:left w:w="85" w:type="dxa"/>
              <w:bottom w:w="85" w:type="dxa"/>
              <w:right w:w="85" w:type="dxa"/>
            </w:tcMar>
          </w:tcPr>
          <w:p w14:paraId="2C4659A2" w14:textId="0CCF3A82" w:rsidR="00911084" w:rsidRDefault="00D26721">
            <w:pPr>
              <w:spacing w:after="58"/>
              <w:rPr>
                <w:bCs/>
              </w:rPr>
            </w:pPr>
            <w:r>
              <w:rPr>
                <w:bCs/>
                <w:i/>
                <w:lang w:val="ru-RU"/>
              </w:rPr>
              <w:t>Основное содержание</w:t>
            </w:r>
            <w:r w:rsidR="001C42BF">
              <w:rPr>
                <w:bCs/>
                <w:i/>
              </w:rPr>
              <w:t>:</w:t>
            </w:r>
          </w:p>
        </w:tc>
        <w:tc>
          <w:tcPr>
            <w:tcW w:w="6755" w:type="dxa"/>
            <w:tcMar>
              <w:top w:w="85" w:type="dxa"/>
              <w:left w:w="85" w:type="dxa"/>
              <w:bottom w:w="85" w:type="dxa"/>
              <w:right w:w="85" w:type="dxa"/>
            </w:tcMar>
          </w:tcPr>
          <w:p w14:paraId="21E96D27" w14:textId="6F3E77C5" w:rsidR="00911084" w:rsidRPr="00880C48" w:rsidRDefault="00D26721" w:rsidP="00453131">
            <w:pPr>
              <w:tabs>
                <w:tab w:val="clear" w:pos="851"/>
              </w:tabs>
              <w:spacing w:after="58"/>
              <w:rPr>
                <w:bCs/>
                <w:lang w:val="ru-RU"/>
              </w:rPr>
            </w:pPr>
            <w:bookmarkStart w:id="7" w:name="Execsum"/>
            <w:bookmarkEnd w:id="7"/>
            <w:r>
              <w:rPr>
                <w:bCs/>
                <w:lang w:val="ru-RU"/>
              </w:rPr>
              <w:t>В</w:t>
            </w:r>
            <w:r w:rsidRPr="00D26721">
              <w:rPr>
                <w:bCs/>
                <w:lang w:val="ru-RU"/>
              </w:rPr>
              <w:t xml:space="preserve"> </w:t>
            </w:r>
            <w:r>
              <w:rPr>
                <w:bCs/>
                <w:lang w:val="ru-RU"/>
              </w:rPr>
              <w:t>документе</w:t>
            </w:r>
            <w:r w:rsidRPr="00D26721">
              <w:rPr>
                <w:bCs/>
                <w:lang w:val="ru-RU"/>
              </w:rPr>
              <w:t xml:space="preserve"> </w:t>
            </w:r>
            <w:r>
              <w:rPr>
                <w:bCs/>
                <w:lang w:val="ru-RU"/>
              </w:rPr>
              <w:t>представлен</w:t>
            </w:r>
            <w:r w:rsidR="00DE3D6F">
              <w:rPr>
                <w:bCs/>
                <w:lang w:val="ru-RU"/>
              </w:rPr>
              <w:t xml:space="preserve">ы комментарии </w:t>
            </w:r>
            <w:bookmarkStart w:id="8" w:name="_Hlk66353020"/>
            <w:r w:rsidR="00DE3D6F" w:rsidRPr="007B33F4">
              <w:rPr>
                <w:bCs/>
                <w:lang w:val="ru-RU"/>
              </w:rPr>
              <w:t xml:space="preserve">по вопросам </w:t>
            </w:r>
            <w:r w:rsidR="00453131" w:rsidRPr="007B33F4">
              <w:rPr>
                <w:bCs/>
                <w:lang w:val="ru-RU"/>
              </w:rPr>
              <w:t>разработки законодательства Российской Федерации в отношении эксплуатации МАНС, упомянутым в документ</w:t>
            </w:r>
            <w:r w:rsidR="00A0045A" w:rsidRPr="007B33F4">
              <w:rPr>
                <w:bCs/>
                <w:lang w:val="ru-RU"/>
              </w:rPr>
              <w:t>е</w:t>
            </w:r>
            <w:r w:rsidR="00D625AD" w:rsidRPr="007B33F4">
              <w:rPr>
                <w:bCs/>
                <w:lang w:val="ru-RU"/>
              </w:rPr>
              <w:t xml:space="preserve"> </w:t>
            </w:r>
            <w:r w:rsidR="00D625AD" w:rsidRPr="000B3050">
              <w:rPr>
                <w:b/>
                <w:lang w:val="en-US"/>
              </w:rPr>
              <w:t>MSC</w:t>
            </w:r>
            <w:r w:rsidR="00D625AD" w:rsidRPr="000B3050">
              <w:rPr>
                <w:b/>
                <w:lang w:val="ru-RU"/>
              </w:rPr>
              <w:t xml:space="preserve"> 102/5/</w:t>
            </w:r>
            <w:r w:rsidR="00453131" w:rsidRPr="000B3050">
              <w:rPr>
                <w:b/>
                <w:lang w:val="ru-RU"/>
              </w:rPr>
              <w:t>1</w:t>
            </w:r>
            <w:r w:rsidR="00D625AD" w:rsidRPr="000B3050">
              <w:rPr>
                <w:b/>
                <w:lang w:val="ru-RU"/>
              </w:rPr>
              <w:t>4</w:t>
            </w:r>
            <w:bookmarkEnd w:id="8"/>
          </w:p>
        </w:tc>
      </w:tr>
      <w:tr w:rsidR="00911084" w14:paraId="7147B349" w14:textId="77777777">
        <w:trPr>
          <w:jc w:val="center"/>
        </w:trPr>
        <w:tc>
          <w:tcPr>
            <w:tcW w:w="2245" w:type="dxa"/>
            <w:tcMar>
              <w:top w:w="85" w:type="dxa"/>
              <w:left w:w="85" w:type="dxa"/>
              <w:bottom w:w="85" w:type="dxa"/>
              <w:right w:w="85" w:type="dxa"/>
            </w:tcMar>
          </w:tcPr>
          <w:p w14:paraId="7AB97A4F" w14:textId="570ECF48" w:rsidR="00911084" w:rsidRDefault="00DF71DB" w:rsidP="00DF71DB">
            <w:pPr>
              <w:spacing w:after="58"/>
              <w:jc w:val="left"/>
              <w:rPr>
                <w:bCs/>
              </w:rPr>
            </w:pPr>
            <w:r w:rsidRPr="00DF71DB">
              <w:rPr>
                <w:bCs/>
                <w:i/>
              </w:rPr>
              <w:t>Стратегические направления, если применимо</w:t>
            </w:r>
            <w:r w:rsidR="001C42BF">
              <w:rPr>
                <w:bCs/>
                <w:i/>
              </w:rPr>
              <w:t>:</w:t>
            </w:r>
          </w:p>
        </w:tc>
        <w:tc>
          <w:tcPr>
            <w:tcW w:w="6755" w:type="dxa"/>
            <w:tcMar>
              <w:top w:w="85" w:type="dxa"/>
              <w:left w:w="85" w:type="dxa"/>
              <w:bottom w:w="85" w:type="dxa"/>
              <w:right w:w="85" w:type="dxa"/>
            </w:tcMar>
          </w:tcPr>
          <w:p w14:paraId="389618F1" w14:textId="12B864B8" w:rsidR="00911084" w:rsidRDefault="00DF72B0">
            <w:pPr>
              <w:tabs>
                <w:tab w:val="clear" w:pos="851"/>
              </w:tabs>
              <w:spacing w:after="58"/>
              <w:rPr>
                <w:bCs/>
              </w:rPr>
            </w:pPr>
            <w:bookmarkStart w:id="9" w:name="StraDir"/>
            <w:bookmarkEnd w:id="9"/>
            <w:r>
              <w:rPr>
                <w:bCs/>
              </w:rPr>
              <w:t>2</w:t>
            </w:r>
          </w:p>
        </w:tc>
      </w:tr>
      <w:tr w:rsidR="00DF71DB" w14:paraId="788BD2D6" w14:textId="77777777">
        <w:trPr>
          <w:jc w:val="center"/>
        </w:trPr>
        <w:tc>
          <w:tcPr>
            <w:tcW w:w="2245" w:type="dxa"/>
            <w:tcMar>
              <w:top w:w="85" w:type="dxa"/>
              <w:left w:w="85" w:type="dxa"/>
              <w:bottom w:w="85" w:type="dxa"/>
              <w:right w:w="85" w:type="dxa"/>
            </w:tcMar>
          </w:tcPr>
          <w:p w14:paraId="66B5DA46" w14:textId="7298F193" w:rsidR="00DF71DB" w:rsidRDefault="00DF71DB" w:rsidP="00DF71DB">
            <w:pPr>
              <w:spacing w:after="58"/>
              <w:jc w:val="left"/>
              <w:rPr>
                <w:bCs/>
              </w:rPr>
            </w:pPr>
            <w:r>
              <w:rPr>
                <w:bCs/>
                <w:i/>
                <w:lang w:val="ru-RU"/>
              </w:rPr>
              <w:t>Результат</w:t>
            </w:r>
            <w:r>
              <w:rPr>
                <w:bCs/>
                <w:i/>
              </w:rPr>
              <w:t>:</w:t>
            </w:r>
          </w:p>
        </w:tc>
        <w:tc>
          <w:tcPr>
            <w:tcW w:w="6755" w:type="dxa"/>
            <w:tcMar>
              <w:top w:w="85" w:type="dxa"/>
              <w:left w:w="85" w:type="dxa"/>
              <w:bottom w:w="85" w:type="dxa"/>
              <w:right w:w="85" w:type="dxa"/>
            </w:tcMar>
          </w:tcPr>
          <w:p w14:paraId="698398DA" w14:textId="61D977A5" w:rsidR="00DF71DB" w:rsidRDefault="00DF71DB" w:rsidP="00DF71DB">
            <w:pPr>
              <w:tabs>
                <w:tab w:val="clear" w:pos="851"/>
              </w:tabs>
              <w:spacing w:after="58"/>
              <w:rPr>
                <w:bCs/>
              </w:rPr>
            </w:pPr>
            <w:bookmarkStart w:id="10" w:name="PlanOut"/>
            <w:bookmarkEnd w:id="10"/>
          </w:p>
        </w:tc>
      </w:tr>
      <w:tr w:rsidR="00DF71DB" w14:paraId="56C3FFA7" w14:textId="77777777">
        <w:trPr>
          <w:jc w:val="center"/>
        </w:trPr>
        <w:tc>
          <w:tcPr>
            <w:tcW w:w="2245" w:type="dxa"/>
            <w:tcMar>
              <w:top w:w="85" w:type="dxa"/>
              <w:left w:w="85" w:type="dxa"/>
              <w:bottom w:w="85" w:type="dxa"/>
              <w:right w:w="85" w:type="dxa"/>
            </w:tcMar>
          </w:tcPr>
          <w:p w14:paraId="27244E4F" w14:textId="58CDBF63" w:rsidR="00DF71DB" w:rsidRDefault="00DF71DB" w:rsidP="00DF71DB">
            <w:pPr>
              <w:spacing w:after="58"/>
              <w:jc w:val="left"/>
              <w:rPr>
                <w:bCs/>
              </w:rPr>
            </w:pPr>
            <w:r>
              <w:rPr>
                <w:bCs/>
                <w:i/>
                <w:lang w:val="ru-RU"/>
              </w:rPr>
              <w:t>Предлагаемые решения</w:t>
            </w:r>
            <w:r>
              <w:rPr>
                <w:bCs/>
                <w:i/>
              </w:rPr>
              <w:t>:</w:t>
            </w:r>
          </w:p>
        </w:tc>
        <w:tc>
          <w:tcPr>
            <w:tcW w:w="6755" w:type="dxa"/>
            <w:tcMar>
              <w:top w:w="85" w:type="dxa"/>
              <w:left w:w="85" w:type="dxa"/>
              <w:bottom w:w="85" w:type="dxa"/>
              <w:right w:w="85" w:type="dxa"/>
            </w:tcMar>
          </w:tcPr>
          <w:p w14:paraId="36DCFC33" w14:textId="34B78740" w:rsidR="00DF71DB" w:rsidRPr="00DE3D6F" w:rsidRDefault="000672B6" w:rsidP="00DF71DB">
            <w:pPr>
              <w:tabs>
                <w:tab w:val="clear" w:pos="851"/>
              </w:tabs>
              <w:spacing w:after="58"/>
              <w:rPr>
                <w:bCs/>
                <w:lang w:val="ru-RU"/>
              </w:rPr>
            </w:pPr>
            <w:bookmarkStart w:id="11" w:name="Action"/>
            <w:bookmarkEnd w:id="11"/>
            <w:r>
              <w:rPr>
                <w:bCs/>
                <w:lang w:val="ru-RU"/>
              </w:rPr>
              <w:t>Пункт 1</w:t>
            </w:r>
            <w:r w:rsidR="00481FE4">
              <w:rPr>
                <w:bCs/>
                <w:lang w:val="ru-RU"/>
              </w:rPr>
              <w:t>2</w:t>
            </w:r>
          </w:p>
        </w:tc>
      </w:tr>
      <w:tr w:rsidR="00DF71DB" w14:paraId="4BF41271" w14:textId="77777777">
        <w:trPr>
          <w:jc w:val="center"/>
        </w:trPr>
        <w:tc>
          <w:tcPr>
            <w:tcW w:w="2245" w:type="dxa"/>
            <w:tcMar>
              <w:top w:w="85" w:type="dxa"/>
              <w:left w:w="85" w:type="dxa"/>
              <w:bottom w:w="85" w:type="dxa"/>
              <w:right w:w="85" w:type="dxa"/>
            </w:tcMar>
          </w:tcPr>
          <w:p w14:paraId="38337C51" w14:textId="3390DA2D" w:rsidR="00DF71DB" w:rsidRDefault="00DF71DB" w:rsidP="00DF71DB">
            <w:pPr>
              <w:spacing w:after="58"/>
              <w:jc w:val="left"/>
              <w:rPr>
                <w:bCs/>
              </w:rPr>
            </w:pPr>
            <w:r>
              <w:rPr>
                <w:bCs/>
                <w:i/>
                <w:lang w:val="ru-RU"/>
              </w:rPr>
              <w:t>Ссылки на документы</w:t>
            </w:r>
            <w:r>
              <w:rPr>
                <w:bCs/>
                <w:i/>
              </w:rPr>
              <w:t>:</w:t>
            </w:r>
          </w:p>
        </w:tc>
        <w:tc>
          <w:tcPr>
            <w:tcW w:w="6755" w:type="dxa"/>
            <w:tcMar>
              <w:top w:w="85" w:type="dxa"/>
              <w:left w:w="85" w:type="dxa"/>
              <w:bottom w:w="85" w:type="dxa"/>
              <w:right w:w="85" w:type="dxa"/>
            </w:tcMar>
          </w:tcPr>
          <w:tbl>
            <w:tblPr>
              <w:tblW w:w="6588" w:type="dxa"/>
              <w:tblBorders>
                <w:top w:val="nil"/>
                <w:left w:val="nil"/>
                <w:bottom w:val="nil"/>
                <w:right w:val="nil"/>
              </w:tblBorders>
              <w:tblLayout w:type="fixed"/>
              <w:tblLook w:val="0000" w:firstRow="0" w:lastRow="0" w:firstColumn="0" w:lastColumn="0" w:noHBand="0" w:noVBand="0"/>
            </w:tblPr>
            <w:tblGrid>
              <w:gridCol w:w="6588"/>
            </w:tblGrid>
            <w:tr w:rsidR="00DF71DB" w:rsidRPr="00DC2DB9" w14:paraId="12DB7CEF" w14:textId="77777777" w:rsidTr="00910158">
              <w:trPr>
                <w:trHeight w:val="229"/>
              </w:trPr>
              <w:tc>
                <w:tcPr>
                  <w:tcW w:w="6588" w:type="dxa"/>
                </w:tcPr>
                <w:p w14:paraId="1C8E1C2C" w14:textId="3E4F8516" w:rsidR="00DF71DB" w:rsidRDefault="003C29C0" w:rsidP="003C29C0">
                  <w:pPr>
                    <w:pStyle w:val="Default"/>
                    <w:rPr>
                      <w:sz w:val="22"/>
                      <w:szCs w:val="22"/>
                    </w:rPr>
                  </w:pPr>
                  <w:bookmarkStart w:id="12" w:name="Reldoc"/>
                  <w:bookmarkEnd w:id="12"/>
                  <w:r>
                    <w:rPr>
                      <w:sz w:val="22"/>
                      <w:szCs w:val="22"/>
                    </w:rPr>
                    <w:t>MSC 102/5/14</w:t>
                  </w:r>
                </w:p>
              </w:tc>
            </w:tr>
          </w:tbl>
          <w:p w14:paraId="2A34F051" w14:textId="6DEBEAD1" w:rsidR="00DF71DB" w:rsidRDefault="00DF71DB" w:rsidP="00DF71DB">
            <w:pPr>
              <w:tabs>
                <w:tab w:val="clear" w:pos="851"/>
              </w:tabs>
              <w:spacing w:after="58"/>
              <w:rPr>
                <w:bCs/>
              </w:rPr>
            </w:pPr>
          </w:p>
        </w:tc>
      </w:tr>
    </w:tbl>
    <w:p w14:paraId="007CB1E6" w14:textId="77777777" w:rsidR="00A007A9" w:rsidRDefault="00A007A9">
      <w:pPr>
        <w:tabs>
          <w:tab w:val="clear" w:pos="851"/>
        </w:tabs>
      </w:pPr>
    </w:p>
    <w:p w14:paraId="475269D6" w14:textId="49BD78A3" w:rsidR="00DF72B0" w:rsidRPr="00D625AD" w:rsidRDefault="00115153" w:rsidP="00A007A9">
      <w:pPr>
        <w:rPr>
          <w:b/>
          <w:lang w:val="ru-RU"/>
        </w:rPr>
      </w:pPr>
      <w:r>
        <w:rPr>
          <w:b/>
          <w:lang w:val="ru-RU"/>
        </w:rPr>
        <w:t xml:space="preserve">Предпосылки </w:t>
      </w:r>
      <w:r w:rsidRPr="00D625AD">
        <w:rPr>
          <w:b/>
          <w:lang w:val="ru-RU"/>
        </w:rPr>
        <w:t>(</w:t>
      </w:r>
      <w:r w:rsidRPr="00A007A9">
        <w:rPr>
          <w:b/>
          <w:lang w:val="ru-RU"/>
        </w:rPr>
        <w:t>Background</w:t>
      </w:r>
      <w:r w:rsidRPr="00D625AD">
        <w:rPr>
          <w:b/>
          <w:lang w:val="ru-RU"/>
        </w:rPr>
        <w:t>)</w:t>
      </w:r>
    </w:p>
    <w:p w14:paraId="1E198CD2" w14:textId="77777777" w:rsidR="00264072" w:rsidRPr="00DF71DB" w:rsidRDefault="00264072">
      <w:pPr>
        <w:tabs>
          <w:tab w:val="clear" w:pos="851"/>
        </w:tabs>
        <w:rPr>
          <w:lang w:val="ru-RU"/>
        </w:rPr>
      </w:pPr>
    </w:p>
    <w:p w14:paraId="0BBE526E" w14:textId="7FEEB4CD" w:rsidR="00911A1D" w:rsidRDefault="00DF72B0" w:rsidP="00911A1D">
      <w:pPr>
        <w:rPr>
          <w:lang w:val="ru-RU"/>
        </w:rPr>
      </w:pPr>
      <w:r w:rsidRPr="00DF71DB">
        <w:rPr>
          <w:lang w:val="ru-RU"/>
        </w:rPr>
        <w:t>1</w:t>
      </w:r>
      <w:r w:rsidRPr="00DF71DB">
        <w:rPr>
          <w:lang w:val="ru-RU"/>
        </w:rPr>
        <w:tab/>
      </w:r>
      <w:bookmarkStart w:id="13" w:name="_Hlk34052206"/>
      <w:r w:rsidR="00D625AD">
        <w:rPr>
          <w:lang w:val="ru-RU"/>
        </w:rPr>
        <w:t xml:space="preserve">Проведенные странами-участниками исследования в рамках </w:t>
      </w:r>
      <w:r w:rsidR="00D625AD">
        <w:rPr>
          <w:lang w:val="en-US"/>
        </w:rPr>
        <w:t>RSE</w:t>
      </w:r>
      <w:r w:rsidR="00D625AD">
        <w:rPr>
          <w:lang w:val="ru-RU"/>
        </w:rPr>
        <w:t xml:space="preserve">, а также практический опыт создания правовых и технических условий широкого применения МАНС в России, позволяют сформулировать ряд важных комментариев в отношении </w:t>
      </w:r>
      <w:r w:rsidR="003C29C0">
        <w:rPr>
          <w:lang w:val="ru-RU"/>
        </w:rPr>
        <w:t>национального регулирования эксплуатации</w:t>
      </w:r>
      <w:r w:rsidR="00D625AD">
        <w:rPr>
          <w:lang w:val="ru-RU"/>
        </w:rPr>
        <w:t xml:space="preserve"> МАНС</w:t>
      </w:r>
      <w:r w:rsidR="00911A1D">
        <w:rPr>
          <w:lang w:val="ru-RU"/>
        </w:rPr>
        <w:t>.</w:t>
      </w:r>
    </w:p>
    <w:bookmarkEnd w:id="13"/>
    <w:p w14:paraId="6F20B999" w14:textId="77777777" w:rsidR="00911A1D" w:rsidRDefault="00911A1D" w:rsidP="00DF72B0">
      <w:pPr>
        <w:rPr>
          <w:lang w:val="ru-RU"/>
        </w:rPr>
      </w:pPr>
    </w:p>
    <w:p w14:paraId="0B2D5886" w14:textId="77777777" w:rsidR="0075080D" w:rsidRDefault="00DF72B0" w:rsidP="00DF72B0">
      <w:pPr>
        <w:rPr>
          <w:lang w:val="ru-RU"/>
        </w:rPr>
      </w:pPr>
      <w:r w:rsidRPr="00DF71DB">
        <w:rPr>
          <w:lang w:val="ru-RU"/>
        </w:rPr>
        <w:t>2</w:t>
      </w:r>
      <w:r w:rsidRPr="00DF71DB">
        <w:rPr>
          <w:lang w:val="ru-RU"/>
        </w:rPr>
        <w:tab/>
      </w:r>
      <w:r w:rsidR="003C29C0">
        <w:rPr>
          <w:lang w:val="ru-RU"/>
        </w:rPr>
        <w:t xml:space="preserve">Российская Федерация документом </w:t>
      </w:r>
      <w:r w:rsidR="00D625AD" w:rsidRPr="00D625AD">
        <w:rPr>
          <w:lang w:val="ru-RU"/>
        </w:rPr>
        <w:t>MSC 102/5/</w:t>
      </w:r>
      <w:r w:rsidR="003C29C0">
        <w:rPr>
          <w:lang w:val="ru-RU"/>
        </w:rPr>
        <w:t>1</w:t>
      </w:r>
      <w:r w:rsidR="00D625AD" w:rsidRPr="00D625AD">
        <w:rPr>
          <w:lang w:val="ru-RU"/>
        </w:rPr>
        <w:t>4</w:t>
      </w:r>
      <w:r w:rsidR="003C29C0">
        <w:rPr>
          <w:lang w:val="ru-RU"/>
        </w:rPr>
        <w:t xml:space="preserve"> проинформировала Комитет о проводимой в Российской Федерации законодательной работе по созданию правового поля для проведения экспериментов и промышленной эксплуатации автономных судов. В частности, в документе указывалось, что </w:t>
      </w:r>
      <w:r w:rsidR="000942B4">
        <w:rPr>
          <w:lang w:val="ru-RU"/>
        </w:rPr>
        <w:t xml:space="preserve">Министерством промышленности и торговли Российской Федерации </w:t>
      </w:r>
      <w:r w:rsidR="001B4421">
        <w:rPr>
          <w:lang w:val="ru-RU"/>
        </w:rPr>
        <w:t xml:space="preserve">подготовлен </w:t>
      </w:r>
      <w:r w:rsidR="000942B4">
        <w:rPr>
          <w:lang w:val="ru-RU"/>
        </w:rPr>
        <w:t xml:space="preserve">проект </w:t>
      </w:r>
      <w:r w:rsidR="0075080D">
        <w:rPr>
          <w:lang w:val="ru-RU"/>
        </w:rPr>
        <w:t xml:space="preserve">федерального закона о внесении изменений </w:t>
      </w:r>
      <w:r w:rsidR="0075080D">
        <w:rPr>
          <w:lang w:val="ru-RU"/>
        </w:rPr>
        <w:lastRenderedPageBreak/>
        <w:t xml:space="preserve">в Кодекс торгового мореплавания Российской Федерации и другие законодательные акты в части правоотношений, возникающих при эксплуатации автономных судов. </w:t>
      </w:r>
    </w:p>
    <w:p w14:paraId="3B37FBF9" w14:textId="77777777" w:rsidR="0075080D" w:rsidRDefault="0075080D" w:rsidP="00DF72B0">
      <w:pPr>
        <w:rPr>
          <w:lang w:val="ru-RU"/>
        </w:rPr>
      </w:pPr>
    </w:p>
    <w:p w14:paraId="48E68FBC" w14:textId="10D75D01" w:rsidR="0075080D" w:rsidRDefault="0075080D" w:rsidP="00DF72B0">
      <w:pPr>
        <w:rPr>
          <w:lang w:val="ru-RU"/>
        </w:rPr>
      </w:pPr>
      <w:r>
        <w:rPr>
          <w:lang w:val="ru-RU"/>
        </w:rPr>
        <w:t>3</w:t>
      </w:r>
      <w:r>
        <w:rPr>
          <w:lang w:val="ru-RU"/>
        </w:rPr>
        <w:tab/>
        <w:t xml:space="preserve">Настоящей нотой Российская Федерация информирует Комитет о прогрессе в рассмотрении законопроекта и о вопросах, возникших в результате тщательного обсуждения подготовленного </w:t>
      </w:r>
      <w:r w:rsidR="00F40789">
        <w:rPr>
          <w:lang w:val="ru-RU"/>
        </w:rPr>
        <w:t>законо</w:t>
      </w:r>
      <w:r>
        <w:rPr>
          <w:lang w:val="ru-RU"/>
        </w:rPr>
        <w:t xml:space="preserve">проекта. </w:t>
      </w:r>
    </w:p>
    <w:p w14:paraId="0C4C4264" w14:textId="77777777" w:rsidR="00601884" w:rsidRDefault="00601884" w:rsidP="00115153">
      <w:pPr>
        <w:rPr>
          <w:lang w:val="ru-RU"/>
        </w:rPr>
      </w:pPr>
    </w:p>
    <w:p w14:paraId="653F8B7E" w14:textId="3117B353" w:rsidR="00115153" w:rsidRPr="00115153" w:rsidRDefault="0075080D" w:rsidP="00115153">
      <w:pPr>
        <w:rPr>
          <w:b/>
          <w:lang w:val="ru-RU"/>
        </w:rPr>
      </w:pPr>
      <w:r>
        <w:rPr>
          <w:b/>
          <w:lang w:val="ru-RU"/>
        </w:rPr>
        <w:t>Прогресс в продвижении российского законопроекта об автономных судах</w:t>
      </w:r>
      <w:r w:rsidR="00601884">
        <w:rPr>
          <w:b/>
          <w:lang w:val="ru-RU"/>
        </w:rPr>
        <w:t xml:space="preserve"> </w:t>
      </w:r>
    </w:p>
    <w:p w14:paraId="51D7568F" w14:textId="77777777" w:rsidR="00115153" w:rsidRPr="00880C48" w:rsidRDefault="00115153" w:rsidP="00115153">
      <w:pPr>
        <w:rPr>
          <w:lang w:val="ru-RU"/>
        </w:rPr>
      </w:pPr>
    </w:p>
    <w:p w14:paraId="19937ECE" w14:textId="1C45BFC3" w:rsidR="007C0C5B" w:rsidRDefault="0075080D" w:rsidP="00115153">
      <w:pPr>
        <w:rPr>
          <w:lang w:val="ru-RU"/>
        </w:rPr>
      </w:pPr>
      <w:r>
        <w:rPr>
          <w:lang w:val="ru-RU"/>
        </w:rPr>
        <w:t>4</w:t>
      </w:r>
      <w:r w:rsidR="00115153" w:rsidRPr="00046755">
        <w:rPr>
          <w:lang w:val="ru-RU"/>
        </w:rPr>
        <w:tab/>
      </w:r>
      <w:r>
        <w:rPr>
          <w:lang w:val="ru-RU"/>
        </w:rPr>
        <w:t xml:space="preserve">Со времени подготовки и представления Российской Федерацией документа </w:t>
      </w:r>
      <w:r w:rsidRPr="00D625AD">
        <w:rPr>
          <w:lang w:val="ru-RU"/>
        </w:rPr>
        <w:t>MSC 102/5/</w:t>
      </w:r>
      <w:r>
        <w:rPr>
          <w:lang w:val="ru-RU"/>
        </w:rPr>
        <w:t>1</w:t>
      </w:r>
      <w:r w:rsidRPr="00D625AD">
        <w:rPr>
          <w:lang w:val="ru-RU"/>
        </w:rPr>
        <w:t>4</w:t>
      </w:r>
      <w:r>
        <w:rPr>
          <w:lang w:val="ru-RU"/>
        </w:rPr>
        <w:t xml:space="preserve"> проект федерального закона </w:t>
      </w:r>
      <w:r w:rsidR="002C460B">
        <w:rPr>
          <w:lang w:val="ru-RU"/>
        </w:rPr>
        <w:t xml:space="preserve">об автономных судах </w:t>
      </w:r>
      <w:r>
        <w:rPr>
          <w:lang w:val="ru-RU"/>
        </w:rPr>
        <w:t>был рассмотрен всеми заинтересованными Министерствами Правительства Российской Федерации, а также прошел общественное обсуждение в судоходном сообществе с участием морских юристов</w:t>
      </w:r>
      <w:r w:rsidR="00913847">
        <w:rPr>
          <w:lang w:val="ru-RU"/>
        </w:rPr>
        <w:t xml:space="preserve"> и с учетом документов (нот)</w:t>
      </w:r>
      <w:r w:rsidR="004B4E0E">
        <w:rPr>
          <w:lang w:val="ru-RU"/>
        </w:rPr>
        <w:t>,</w:t>
      </w:r>
      <w:r w:rsidR="00913847">
        <w:rPr>
          <w:lang w:val="ru-RU"/>
        </w:rPr>
        <w:t xml:space="preserve"> представленных членами и наблюдателями ИМО на 102 сессию КБМ</w:t>
      </w:r>
      <w:r>
        <w:rPr>
          <w:lang w:val="ru-RU"/>
        </w:rPr>
        <w:t xml:space="preserve">. </w:t>
      </w:r>
      <w:r w:rsidR="0014125A">
        <w:rPr>
          <w:lang w:val="ru-RU"/>
        </w:rPr>
        <w:t>По результатам обсуждения з</w:t>
      </w:r>
      <w:r>
        <w:rPr>
          <w:lang w:val="ru-RU"/>
        </w:rPr>
        <w:t xml:space="preserve">аконопроект </w:t>
      </w:r>
      <w:r w:rsidR="007C0C5B">
        <w:rPr>
          <w:lang w:val="ru-RU"/>
        </w:rPr>
        <w:t>доработа</w:t>
      </w:r>
      <w:r w:rsidR="0014125A">
        <w:rPr>
          <w:lang w:val="ru-RU"/>
        </w:rPr>
        <w:t xml:space="preserve">н </w:t>
      </w:r>
      <w:r w:rsidR="0014125A" w:rsidRPr="003B7FC6">
        <w:rPr>
          <w:bCs/>
          <w:lang w:val="ru-RU"/>
        </w:rPr>
        <w:t xml:space="preserve">Центром продвижения технологий автономного судовождения </w:t>
      </w:r>
      <w:r w:rsidR="0014125A">
        <w:rPr>
          <w:bCs/>
          <w:lang w:val="ru-RU"/>
        </w:rPr>
        <w:t>«</w:t>
      </w:r>
      <w:r w:rsidR="0014125A" w:rsidRPr="003B7FC6">
        <w:rPr>
          <w:bCs/>
          <w:lang w:val="ru-RU"/>
        </w:rPr>
        <w:t>МАРИНЕТ РУТ», созданным Российским университетом транспорта совместно Отраслевым центром МАРИНЕТ в соответствии с распоряжением Министра транспорта Российской Федерации</w:t>
      </w:r>
      <w:r w:rsidR="0014125A">
        <w:rPr>
          <w:bCs/>
          <w:lang w:val="ru-RU"/>
        </w:rPr>
        <w:t>,</w:t>
      </w:r>
      <w:r w:rsidR="007C0C5B">
        <w:rPr>
          <w:lang w:val="ru-RU"/>
        </w:rPr>
        <w:t xml:space="preserve"> и </w:t>
      </w:r>
      <w:r w:rsidR="003D41B4">
        <w:rPr>
          <w:lang w:val="ru-RU"/>
        </w:rPr>
        <w:t xml:space="preserve">в настоящее время </w:t>
      </w:r>
      <w:r w:rsidR="0014125A">
        <w:rPr>
          <w:lang w:val="ru-RU"/>
        </w:rPr>
        <w:t>готовится Правительством Российской Федерации</w:t>
      </w:r>
      <w:r w:rsidR="007C0C5B">
        <w:rPr>
          <w:lang w:val="ru-RU"/>
        </w:rPr>
        <w:t xml:space="preserve"> к направлению в Государственную Думу Российской Федерации</w:t>
      </w:r>
      <w:r w:rsidR="003D41B4">
        <w:rPr>
          <w:lang w:val="ru-RU"/>
        </w:rPr>
        <w:t xml:space="preserve"> (российский Парламент)</w:t>
      </w:r>
      <w:r w:rsidR="007C0C5B">
        <w:rPr>
          <w:lang w:val="ru-RU"/>
        </w:rPr>
        <w:t>. Государственная Дума Российской Федерации включил</w:t>
      </w:r>
      <w:r w:rsidR="003D41B4">
        <w:rPr>
          <w:lang w:val="ru-RU"/>
        </w:rPr>
        <w:t>а</w:t>
      </w:r>
      <w:r w:rsidR="007C0C5B">
        <w:rPr>
          <w:lang w:val="ru-RU"/>
        </w:rPr>
        <w:t xml:space="preserve"> законопроект в список приоритетных законопроектов на весеннюю сессию </w:t>
      </w:r>
      <w:r w:rsidR="003D41B4">
        <w:rPr>
          <w:lang w:val="ru-RU"/>
        </w:rPr>
        <w:t xml:space="preserve">2021 года </w:t>
      </w:r>
      <w:r w:rsidR="007C0C5B">
        <w:rPr>
          <w:lang w:val="ru-RU"/>
        </w:rPr>
        <w:t xml:space="preserve">с </w:t>
      </w:r>
      <w:r w:rsidR="003D41B4">
        <w:rPr>
          <w:lang w:val="ru-RU"/>
        </w:rPr>
        <w:t>предполагаемым</w:t>
      </w:r>
      <w:r w:rsidR="007C0C5B">
        <w:rPr>
          <w:lang w:val="ru-RU"/>
        </w:rPr>
        <w:t xml:space="preserve"> сроком принятия </w:t>
      </w:r>
      <w:r w:rsidR="00F40789">
        <w:rPr>
          <w:lang w:val="ru-RU"/>
        </w:rPr>
        <w:t>-</w:t>
      </w:r>
      <w:r w:rsidR="007C0C5B">
        <w:rPr>
          <w:lang w:val="ru-RU"/>
        </w:rPr>
        <w:t xml:space="preserve"> июл</w:t>
      </w:r>
      <w:r w:rsidR="00F40789">
        <w:rPr>
          <w:lang w:val="ru-RU"/>
        </w:rPr>
        <w:t>ь</w:t>
      </w:r>
      <w:r w:rsidR="007C0C5B">
        <w:rPr>
          <w:lang w:val="ru-RU"/>
        </w:rPr>
        <w:t xml:space="preserve"> 2021 года. Ожидается, что законопроект вступит в силу до конца 2021 года. С учетом законодательного процесса в Российской Федерации законопроект может претерпеть некоторые изменения до его окончательного принятия, но концептуальные положения скорее всего не изменятся. </w:t>
      </w:r>
    </w:p>
    <w:p w14:paraId="597BA6D2" w14:textId="77777777" w:rsidR="00F40789" w:rsidRDefault="00F40789" w:rsidP="00115153">
      <w:pPr>
        <w:rPr>
          <w:lang w:val="ru-RU"/>
        </w:rPr>
      </w:pPr>
    </w:p>
    <w:p w14:paraId="70E7B321" w14:textId="501855C5" w:rsidR="007C0C5B" w:rsidRDefault="003D41B4" w:rsidP="00115153">
      <w:pPr>
        <w:rPr>
          <w:lang w:val="ru-RU"/>
        </w:rPr>
      </w:pPr>
      <w:r>
        <w:rPr>
          <w:lang w:val="ru-RU"/>
        </w:rPr>
        <w:t>5</w:t>
      </w:r>
      <w:r>
        <w:rPr>
          <w:lang w:val="ru-RU"/>
        </w:rPr>
        <w:tab/>
        <w:t xml:space="preserve">Для полной реализации норм законодательства Российской Федерации в части эксплуатации автономных судов после вступления в силу закона об автономных судах потребуется еще принятие ряда актов Правительства Российской Федерации и Министерства транспорта Российской Федерации, регулирующих технические и административные детали эксплуатации автономных судов. Этот процесс может занять до 6 месяцев. Таким образом, полный комплект нормативных правовых актов, регулирующих эксплуатацию автономных судов под Государственным флагом Российской Федерации и иностранных автономных судов, заходящих в российские порты, может быть получен </w:t>
      </w:r>
      <w:r w:rsidR="00F40789">
        <w:rPr>
          <w:lang w:val="ru-RU"/>
        </w:rPr>
        <w:t>в начале</w:t>
      </w:r>
      <w:r>
        <w:rPr>
          <w:lang w:val="ru-RU"/>
        </w:rPr>
        <w:t xml:space="preserve"> 2022 год</w:t>
      </w:r>
      <w:r w:rsidR="00F40789">
        <w:rPr>
          <w:lang w:val="ru-RU"/>
        </w:rPr>
        <w:t>а</w:t>
      </w:r>
      <w:r>
        <w:rPr>
          <w:lang w:val="ru-RU"/>
        </w:rPr>
        <w:t>.</w:t>
      </w:r>
    </w:p>
    <w:p w14:paraId="51516E1C" w14:textId="3BFA01DD" w:rsidR="003D41B4" w:rsidRDefault="003D41B4" w:rsidP="00115153">
      <w:pPr>
        <w:rPr>
          <w:lang w:val="ru-RU"/>
        </w:rPr>
      </w:pPr>
    </w:p>
    <w:p w14:paraId="4E7400E2" w14:textId="3D4C4154" w:rsidR="004A6E62" w:rsidRPr="00115153" w:rsidRDefault="004A6E62" w:rsidP="004A6E62">
      <w:pPr>
        <w:rPr>
          <w:b/>
          <w:lang w:val="ru-RU"/>
        </w:rPr>
      </w:pPr>
      <w:r>
        <w:rPr>
          <w:b/>
          <w:lang w:val="ru-RU"/>
        </w:rPr>
        <w:t xml:space="preserve">Вопросы для дополнительного обсуждения при разработке законодательства в отношении МАНС </w:t>
      </w:r>
    </w:p>
    <w:p w14:paraId="45CC62E8" w14:textId="77777777" w:rsidR="00F95433" w:rsidRPr="002C460B" w:rsidRDefault="00F95433" w:rsidP="00115153">
      <w:pPr>
        <w:rPr>
          <w:rFonts w:cs="Arial"/>
          <w:lang w:val="ru-RU"/>
        </w:rPr>
      </w:pPr>
    </w:p>
    <w:p w14:paraId="6F8353F6" w14:textId="22B32966" w:rsidR="00F95433" w:rsidRDefault="00F95433" w:rsidP="00115153">
      <w:pPr>
        <w:rPr>
          <w:rFonts w:cs="Arial"/>
          <w:lang w:val="ru-RU"/>
        </w:rPr>
      </w:pPr>
      <w:r>
        <w:rPr>
          <w:rFonts w:cs="Arial"/>
          <w:lang w:val="ru-RU"/>
        </w:rPr>
        <w:t>6</w:t>
      </w:r>
      <w:r>
        <w:rPr>
          <w:rFonts w:cs="Arial"/>
          <w:lang w:val="ru-RU"/>
        </w:rPr>
        <w:tab/>
      </w:r>
      <w:r w:rsidR="004A6E62">
        <w:rPr>
          <w:rFonts w:cs="Arial"/>
          <w:lang w:val="ru-RU"/>
        </w:rPr>
        <w:t>При первых двух уровнях автономности на судне будет находится экипаж. При этом часть функций</w:t>
      </w:r>
      <w:r w:rsidR="007560CD">
        <w:rPr>
          <w:rFonts w:cs="Arial"/>
          <w:lang w:val="ru-RU"/>
        </w:rPr>
        <w:t xml:space="preserve">, в настоящее время выполняемых экипажем на борту судна, будет выполняться либо средствами судовой автоматики, либо удаленными операторами и средствами удаленной автоматики. </w:t>
      </w:r>
      <w:r>
        <w:rPr>
          <w:rFonts w:cs="Arial"/>
          <w:lang w:val="ru-RU"/>
        </w:rPr>
        <w:t xml:space="preserve">Следовательно, </w:t>
      </w:r>
      <w:r w:rsidR="007560CD">
        <w:rPr>
          <w:rFonts w:cs="Arial"/>
          <w:lang w:val="ru-RU"/>
        </w:rPr>
        <w:t>средства автоматики</w:t>
      </w:r>
      <w:r>
        <w:rPr>
          <w:rFonts w:cs="Arial"/>
          <w:lang w:val="ru-RU"/>
        </w:rPr>
        <w:t xml:space="preserve"> выступают </w:t>
      </w:r>
      <w:r w:rsidR="007560CD">
        <w:rPr>
          <w:rFonts w:cs="Arial"/>
          <w:lang w:val="ru-RU"/>
        </w:rPr>
        <w:t xml:space="preserve">зачастую </w:t>
      </w:r>
      <w:r>
        <w:rPr>
          <w:rFonts w:cs="Arial"/>
          <w:lang w:val="ru-RU"/>
        </w:rPr>
        <w:t xml:space="preserve">не </w:t>
      </w:r>
      <w:r w:rsidR="007560CD">
        <w:rPr>
          <w:rFonts w:cs="Arial"/>
          <w:lang w:val="ru-RU"/>
        </w:rPr>
        <w:t xml:space="preserve">полной </w:t>
      </w:r>
      <w:r>
        <w:rPr>
          <w:rFonts w:cs="Arial"/>
          <w:lang w:val="ru-RU"/>
        </w:rPr>
        <w:t>заменой человека в управлении судном, а инструментом, помогающим человеку – судовладельцу, капитану (</w:t>
      </w:r>
      <w:r>
        <w:rPr>
          <w:rFonts w:cs="Arial"/>
          <w:lang w:val="en-US"/>
        </w:rPr>
        <w:t>master</w:t>
      </w:r>
      <w:r>
        <w:rPr>
          <w:rFonts w:cs="Arial"/>
          <w:lang w:val="ru-RU"/>
        </w:rPr>
        <w:t>), оператору дистанционного управления</w:t>
      </w:r>
      <w:r w:rsidRPr="00F95433">
        <w:rPr>
          <w:rFonts w:cs="Arial"/>
          <w:lang w:val="ru-RU"/>
        </w:rPr>
        <w:t xml:space="preserve"> (</w:t>
      </w:r>
      <w:r>
        <w:rPr>
          <w:rFonts w:cs="Arial"/>
          <w:lang w:val="en-US"/>
        </w:rPr>
        <w:t>remote</w:t>
      </w:r>
      <w:r w:rsidRPr="00F95433">
        <w:rPr>
          <w:rFonts w:cs="Arial"/>
          <w:lang w:val="ru-RU"/>
        </w:rPr>
        <w:t xml:space="preserve"> </w:t>
      </w:r>
      <w:r>
        <w:rPr>
          <w:rFonts w:cs="Arial"/>
          <w:lang w:val="en-US"/>
        </w:rPr>
        <w:t>operator</w:t>
      </w:r>
      <w:r w:rsidRPr="00F95433">
        <w:rPr>
          <w:rFonts w:cs="Arial"/>
          <w:lang w:val="ru-RU"/>
        </w:rPr>
        <w:t>)</w:t>
      </w:r>
      <w:r>
        <w:rPr>
          <w:rFonts w:cs="Arial"/>
          <w:lang w:val="ru-RU"/>
        </w:rPr>
        <w:t xml:space="preserve"> – в управлении судном. Итоговая ответственность за управление судном и безопасность судоходства</w:t>
      </w:r>
      <w:r w:rsidR="007560CD">
        <w:rPr>
          <w:rFonts w:cs="Arial"/>
          <w:lang w:val="ru-RU"/>
        </w:rPr>
        <w:t>, в этом случае,</w:t>
      </w:r>
      <w:r>
        <w:rPr>
          <w:rFonts w:cs="Arial"/>
          <w:lang w:val="ru-RU"/>
        </w:rPr>
        <w:t xml:space="preserve"> остается за человеком.</w:t>
      </w:r>
      <w:r w:rsidR="007560CD">
        <w:rPr>
          <w:rFonts w:cs="Arial"/>
          <w:lang w:val="ru-RU"/>
        </w:rPr>
        <w:t xml:space="preserve"> Таким образом требуется разработка требований к знаниям, умениям, навыкам всех вовлеченных в процесс управления автономным судном лиц, а также определение их ролей и ответственности.</w:t>
      </w:r>
      <w:r w:rsidR="00F40789">
        <w:rPr>
          <w:rFonts w:cs="Arial"/>
          <w:lang w:val="ru-RU"/>
        </w:rPr>
        <w:t xml:space="preserve"> Взаимоотношения указанных лиц должны быть адекватно отражены в СУБ компании. </w:t>
      </w:r>
    </w:p>
    <w:p w14:paraId="5D1C70EF" w14:textId="27257A0F" w:rsidR="007560CD" w:rsidRDefault="007560CD" w:rsidP="00115153">
      <w:pPr>
        <w:rPr>
          <w:rFonts w:cs="Arial"/>
          <w:lang w:val="ru-RU"/>
        </w:rPr>
      </w:pPr>
    </w:p>
    <w:p w14:paraId="63C8673E" w14:textId="33FBFBC7" w:rsidR="007560CD" w:rsidRDefault="007560CD" w:rsidP="00115153">
      <w:pPr>
        <w:rPr>
          <w:rFonts w:cs="Arial"/>
          <w:lang w:val="ru-RU"/>
        </w:rPr>
      </w:pPr>
      <w:r>
        <w:rPr>
          <w:rFonts w:cs="Arial"/>
          <w:lang w:val="ru-RU"/>
        </w:rPr>
        <w:lastRenderedPageBreak/>
        <w:t>7</w:t>
      </w:r>
      <w:r>
        <w:rPr>
          <w:rFonts w:cs="Arial"/>
          <w:lang w:val="ru-RU"/>
        </w:rPr>
        <w:tab/>
        <w:t xml:space="preserve">При обсуждении законопроекта многие эксперты в России указали на то, что в соответствии с действующими международными номами государство флага судна должно обеспечить наличие для каждого судна квалифицированного экипажа. Изначально, в законопроекте предполагалось, что для МАНС 3 и 4 уровней автономности (при отсутствии людей на борту МАНС) экипаж формироваться не будет, а управление судном </w:t>
      </w:r>
      <w:r w:rsidR="00F40789">
        <w:rPr>
          <w:rFonts w:cs="Arial"/>
          <w:lang w:val="ru-RU"/>
        </w:rPr>
        <w:t>и/</w:t>
      </w:r>
      <w:r>
        <w:rPr>
          <w:rFonts w:cs="Arial"/>
          <w:lang w:val="ru-RU"/>
        </w:rPr>
        <w:t xml:space="preserve">или наблюдение за ним будет осуществляться специалистами, находящимися вне автономного судна. Однако, экспертами был предложен иной подход, который, на наш взгляд, более соответствует духу существующего регулирования. Предлагается для автономных судов без экипажа на борту формировать внешний экипаж, который </w:t>
      </w:r>
      <w:r w:rsidR="007C3B78">
        <w:rPr>
          <w:rFonts w:cs="Arial"/>
          <w:lang w:val="ru-RU"/>
        </w:rPr>
        <w:t>будет находится вне судна (на берегу или на другом судне) и который будет управлять автономным судном и нести ответственность за безопасность мореплавания автономного судна. Требования к квалификации и составу внешнего экипажа автономного судна будут установлены Морской администрацией государства флага (Правительством Российской Федерации).</w:t>
      </w:r>
    </w:p>
    <w:p w14:paraId="29D6461B" w14:textId="1C4C341B" w:rsidR="007C3B78" w:rsidRDefault="007C3B78" w:rsidP="00115153">
      <w:pPr>
        <w:rPr>
          <w:rFonts w:cs="Arial"/>
          <w:lang w:val="ru-RU"/>
        </w:rPr>
      </w:pPr>
    </w:p>
    <w:p w14:paraId="3277AF6D" w14:textId="65F7D2F3" w:rsidR="007C3B78" w:rsidRDefault="007C3B78" w:rsidP="00115153">
      <w:pPr>
        <w:rPr>
          <w:rFonts w:cs="Arial"/>
          <w:lang w:val="ru-RU"/>
        </w:rPr>
      </w:pPr>
      <w:r>
        <w:rPr>
          <w:rFonts w:cs="Arial"/>
          <w:lang w:val="ru-RU"/>
        </w:rPr>
        <w:t>8</w:t>
      </w:r>
      <w:r>
        <w:rPr>
          <w:rFonts w:cs="Arial"/>
          <w:lang w:val="ru-RU"/>
        </w:rPr>
        <w:tab/>
        <w:t>Одним из наиболее обсуждаемых аспектов эксплуатации автономных судов стал вопрос страхования ответственности (гражданской ответственности) за ущерб, причинённый автономным судном или в связи с эксплуатацией автономного судна. Экспертами не выявлено каких-либо особенностей страхования ответственности за ущерб, причиненный автономны судном, по сравнению с аналогичным страхованием в отношении судна, не являющегося автономным. Практика страхования показывает, что стороной страхового договора всегда выступает либо судовладелец, либо собственник судна. У автономного судна, как и у любого другого судна, будет иметься и зарегистрированный собственник и зарегистрированный судовладелец (компания), которые будут выступать стороной договора страхования автономного судна. Особенных рисков, связанных именно с эксплуатацией автономных судов, также не выявлено. Российским законопроект</w:t>
      </w:r>
      <w:r w:rsidR="0014125A">
        <w:rPr>
          <w:rFonts w:cs="Arial"/>
          <w:lang w:val="ru-RU"/>
        </w:rPr>
        <w:t>ом</w:t>
      </w:r>
      <w:r>
        <w:rPr>
          <w:rFonts w:cs="Arial"/>
          <w:lang w:val="ru-RU"/>
        </w:rPr>
        <w:t xml:space="preserve"> предложено осуществлять страхование автономных судов в таком же порядке, </w:t>
      </w:r>
      <w:r w:rsidR="0014125A">
        <w:rPr>
          <w:rFonts w:cs="Arial"/>
          <w:lang w:val="ru-RU"/>
        </w:rPr>
        <w:t>в каком</w:t>
      </w:r>
      <w:r>
        <w:rPr>
          <w:rFonts w:cs="Arial"/>
          <w:lang w:val="ru-RU"/>
        </w:rPr>
        <w:t xml:space="preserve"> осуществляется страхование и </w:t>
      </w:r>
      <w:r w:rsidR="0014125A">
        <w:rPr>
          <w:rFonts w:cs="Arial"/>
          <w:lang w:val="ru-RU"/>
        </w:rPr>
        <w:t xml:space="preserve">судов, </w:t>
      </w:r>
      <w:r>
        <w:rPr>
          <w:rFonts w:cs="Arial"/>
          <w:lang w:val="ru-RU"/>
        </w:rPr>
        <w:t xml:space="preserve">не </w:t>
      </w:r>
      <w:r w:rsidR="0014125A">
        <w:rPr>
          <w:rFonts w:cs="Arial"/>
          <w:lang w:val="ru-RU"/>
        </w:rPr>
        <w:t xml:space="preserve">являющихся </w:t>
      </w:r>
      <w:r>
        <w:rPr>
          <w:rFonts w:cs="Arial"/>
          <w:lang w:val="ru-RU"/>
        </w:rPr>
        <w:t>автономны</w:t>
      </w:r>
      <w:r w:rsidR="0014125A">
        <w:rPr>
          <w:rFonts w:cs="Arial"/>
          <w:lang w:val="ru-RU"/>
        </w:rPr>
        <w:t>ми</w:t>
      </w:r>
      <w:r>
        <w:rPr>
          <w:rFonts w:cs="Arial"/>
          <w:lang w:val="ru-RU"/>
        </w:rPr>
        <w:t>. Возможно, вопрос страхования рисков, связанных с эксплуатацией автономных судов, требует более пристального рассмотрения на Юридическом Комитете ИМО.</w:t>
      </w:r>
    </w:p>
    <w:p w14:paraId="4BDB5803" w14:textId="38CC39C4" w:rsidR="007C3B78" w:rsidRDefault="007C3B78" w:rsidP="00115153">
      <w:pPr>
        <w:rPr>
          <w:rFonts w:cs="Arial"/>
          <w:lang w:val="ru-RU"/>
        </w:rPr>
      </w:pPr>
    </w:p>
    <w:p w14:paraId="0DD0E368" w14:textId="3B470B2B" w:rsidR="007C3B78" w:rsidRDefault="007E291A" w:rsidP="00115153">
      <w:pPr>
        <w:rPr>
          <w:rFonts w:cs="Arial"/>
          <w:lang w:val="ru-RU"/>
        </w:rPr>
      </w:pPr>
      <w:r>
        <w:rPr>
          <w:rFonts w:cs="Arial"/>
          <w:lang w:val="ru-RU"/>
        </w:rPr>
        <w:t>9</w:t>
      </w:r>
      <w:r>
        <w:rPr>
          <w:rFonts w:cs="Arial"/>
          <w:lang w:val="ru-RU"/>
        </w:rPr>
        <w:tab/>
        <w:t xml:space="preserve">Рассматриваемый законопроект </w:t>
      </w:r>
      <w:r w:rsidR="0014125A">
        <w:rPr>
          <w:rFonts w:cs="Arial"/>
          <w:lang w:val="ru-RU"/>
        </w:rPr>
        <w:t xml:space="preserve">прежде всего </w:t>
      </w:r>
      <w:r>
        <w:rPr>
          <w:rFonts w:cs="Arial"/>
          <w:lang w:val="ru-RU"/>
        </w:rPr>
        <w:t xml:space="preserve">предназначен для регулирования правоотношений, возникающих при эксплуатации автономных судов под Государственным флагом Российской Федерации. Вместе с тем, законопроектом предусматривается норма о том, что при заходе в российские порты автономных судов под иностранными флагами будет признаваться как международное регулирование, при его наличии, так и национальное регулирование автономных судов государством флага в части состава экипажа и </w:t>
      </w:r>
      <w:r w:rsidR="0014125A">
        <w:rPr>
          <w:rFonts w:cs="Arial"/>
          <w:lang w:val="ru-RU"/>
        </w:rPr>
        <w:t xml:space="preserve">его </w:t>
      </w:r>
      <w:r>
        <w:rPr>
          <w:rFonts w:cs="Arial"/>
          <w:lang w:val="ru-RU"/>
        </w:rPr>
        <w:t>квалификации, освидетельствования технических средства автоматизации автономного судна, и др.</w:t>
      </w:r>
      <w:r w:rsidR="000672B6">
        <w:rPr>
          <w:rFonts w:cs="Arial"/>
          <w:lang w:val="ru-RU"/>
        </w:rPr>
        <w:t>, при условии соблюдения применимых требований инструментов ИМО.</w:t>
      </w:r>
    </w:p>
    <w:p w14:paraId="46C96AD4" w14:textId="38142C52" w:rsidR="00A007A9" w:rsidRDefault="00A007A9" w:rsidP="00115153">
      <w:pPr>
        <w:rPr>
          <w:rFonts w:cs="Arial"/>
          <w:lang w:val="ru-RU"/>
        </w:rPr>
      </w:pPr>
    </w:p>
    <w:p w14:paraId="78F50F71" w14:textId="7D7C44DC" w:rsidR="00A007A9" w:rsidRDefault="00A007A9" w:rsidP="00115153">
      <w:pPr>
        <w:rPr>
          <w:rFonts w:cs="Arial"/>
          <w:lang w:val="ru-RU"/>
        </w:rPr>
      </w:pPr>
      <w:r>
        <w:rPr>
          <w:rFonts w:cs="Arial"/>
          <w:lang w:val="ru-RU"/>
        </w:rPr>
        <w:t>10</w:t>
      </w:r>
      <w:r>
        <w:rPr>
          <w:rFonts w:cs="Arial"/>
          <w:lang w:val="ru-RU"/>
        </w:rPr>
        <w:tab/>
        <w:t>Законопроект не специфицирует правовые нормы в зависимости от типа, назначения или района плавания автономного судна. По мнению российских экспертов автономное судно может использоваться практически во всех областях торгового мореплавания. Вместе с тем, представляется не обоснованным допускать, чтобы суда, перевозящие пассажиров, не имели на борту экипажа. В доработанной редакции законопроекта устанавливается, что пассажирское автономное судно не может эксплуатироваться без экипажа на борту. Это ограничение не означает, что для пассажирского судна не может быть сформирован внешний экипаж, и что пассажирское судно не может быть автономным</w:t>
      </w:r>
      <w:r w:rsidR="00481FE4">
        <w:rPr>
          <w:rFonts w:cs="Arial"/>
          <w:lang w:val="ru-RU"/>
        </w:rPr>
        <w:t xml:space="preserve"> судном</w:t>
      </w:r>
      <w:r>
        <w:rPr>
          <w:rFonts w:cs="Arial"/>
          <w:lang w:val="ru-RU"/>
        </w:rPr>
        <w:t xml:space="preserve">. </w:t>
      </w:r>
    </w:p>
    <w:p w14:paraId="33FFD420" w14:textId="7879AB8F" w:rsidR="007E291A" w:rsidRDefault="007E291A" w:rsidP="00115153">
      <w:pPr>
        <w:rPr>
          <w:rFonts w:cs="Arial"/>
          <w:lang w:val="ru-RU"/>
        </w:rPr>
      </w:pPr>
    </w:p>
    <w:p w14:paraId="6EB78847" w14:textId="6EC042B3" w:rsidR="007E291A" w:rsidRPr="00476BE1" w:rsidRDefault="007E291A" w:rsidP="00115153">
      <w:pPr>
        <w:rPr>
          <w:rFonts w:cs="Arial"/>
          <w:lang w:val="ru-RU"/>
        </w:rPr>
      </w:pPr>
      <w:r>
        <w:rPr>
          <w:rFonts w:cs="Arial"/>
          <w:lang w:val="ru-RU"/>
        </w:rPr>
        <w:t>1</w:t>
      </w:r>
      <w:r w:rsidR="00A007A9">
        <w:rPr>
          <w:rFonts w:cs="Arial"/>
          <w:lang w:val="ru-RU"/>
        </w:rPr>
        <w:t>1</w:t>
      </w:r>
      <w:r>
        <w:rPr>
          <w:rFonts w:cs="Arial"/>
          <w:lang w:val="ru-RU"/>
        </w:rPr>
        <w:tab/>
      </w:r>
      <w:r w:rsidR="00476BE1">
        <w:rPr>
          <w:rFonts w:cs="Arial"/>
          <w:lang w:val="ru-RU"/>
        </w:rPr>
        <w:t xml:space="preserve">Законопроект </w:t>
      </w:r>
      <w:r w:rsidR="00A007A9">
        <w:rPr>
          <w:rFonts w:cs="Arial"/>
          <w:lang w:val="ru-RU"/>
        </w:rPr>
        <w:t xml:space="preserve">рассматривает вопросы управления автономным судном при его плавании, заходе в морские порты и выходе из морских портов. В законопроекте остался </w:t>
      </w:r>
      <w:r w:rsidR="00A007A9">
        <w:rPr>
          <w:rFonts w:cs="Arial"/>
          <w:lang w:val="ru-RU"/>
        </w:rPr>
        <w:lastRenderedPageBreak/>
        <w:t>не урегулирован спектр правовых норм, связанных с погрузкой судна и выгрузкой судна, обеспечения надлежащей загрузки, бункеровки, и иных подобных операций. Эти вопросы, по нашему мнению, должны получить должное рассмотрение на уровне ИМО.</w:t>
      </w:r>
    </w:p>
    <w:p w14:paraId="0DC0F1FE" w14:textId="77777777" w:rsidR="00304757" w:rsidRPr="00315C39" w:rsidRDefault="00304757" w:rsidP="00DF72B0">
      <w:pPr>
        <w:rPr>
          <w:rFonts w:cs="Arial"/>
          <w:lang w:val="ru-RU"/>
        </w:rPr>
      </w:pPr>
    </w:p>
    <w:p w14:paraId="3DE6C5BA" w14:textId="5F2412A4" w:rsidR="00DF72B0" w:rsidRPr="00880C48" w:rsidRDefault="00046755" w:rsidP="00DF72B0">
      <w:pPr>
        <w:rPr>
          <w:b/>
          <w:lang w:val="ru-RU"/>
        </w:rPr>
      </w:pPr>
      <w:r>
        <w:rPr>
          <w:b/>
          <w:lang w:val="ru-RU"/>
        </w:rPr>
        <w:t>Предложения</w:t>
      </w:r>
    </w:p>
    <w:p w14:paraId="6DDB09BB" w14:textId="77777777" w:rsidR="00DF72B0" w:rsidRPr="00880C48" w:rsidRDefault="00DF72B0" w:rsidP="00DF72B0">
      <w:pPr>
        <w:rPr>
          <w:lang w:val="ru-RU"/>
        </w:rPr>
      </w:pPr>
    </w:p>
    <w:p w14:paraId="70EE71FA" w14:textId="40C7B885" w:rsidR="00A007A9" w:rsidRDefault="004F177D" w:rsidP="00AC317C">
      <w:pPr>
        <w:rPr>
          <w:rFonts w:cs="Arial"/>
          <w:lang w:val="ru-RU"/>
        </w:rPr>
      </w:pPr>
      <w:r w:rsidRPr="00046755">
        <w:rPr>
          <w:lang w:val="ru-RU"/>
        </w:rPr>
        <w:t>1</w:t>
      </w:r>
      <w:r w:rsidR="00481FE4">
        <w:rPr>
          <w:lang w:val="ru-RU"/>
        </w:rPr>
        <w:t>2</w:t>
      </w:r>
      <w:r w:rsidR="00DF72B0" w:rsidRPr="00046755">
        <w:rPr>
          <w:lang w:val="ru-RU"/>
        </w:rPr>
        <w:tab/>
      </w:r>
      <w:r w:rsidR="00046755">
        <w:rPr>
          <w:rFonts w:cs="Arial"/>
          <w:lang w:val="ru-RU"/>
        </w:rPr>
        <w:t>Российская</w:t>
      </w:r>
      <w:r w:rsidR="00046755" w:rsidRPr="00046755">
        <w:rPr>
          <w:rFonts w:cs="Arial"/>
          <w:lang w:val="ru-RU"/>
        </w:rPr>
        <w:t xml:space="preserve"> </w:t>
      </w:r>
      <w:r w:rsidR="00046755">
        <w:rPr>
          <w:rFonts w:cs="Arial"/>
          <w:lang w:val="ru-RU"/>
        </w:rPr>
        <w:t>Федерация</w:t>
      </w:r>
      <w:r w:rsidR="00046755" w:rsidRPr="00046755">
        <w:rPr>
          <w:rFonts w:cs="Arial"/>
          <w:lang w:val="ru-RU"/>
        </w:rPr>
        <w:t xml:space="preserve"> </w:t>
      </w:r>
      <w:r w:rsidR="00046755">
        <w:rPr>
          <w:rFonts w:cs="Arial"/>
          <w:lang w:val="ru-RU"/>
        </w:rPr>
        <w:t>предлагает</w:t>
      </w:r>
      <w:r w:rsidR="00046755" w:rsidRPr="00046755">
        <w:rPr>
          <w:rFonts w:cs="Arial"/>
          <w:lang w:val="ru-RU"/>
        </w:rPr>
        <w:t xml:space="preserve"> </w:t>
      </w:r>
      <w:r w:rsidR="00046755">
        <w:rPr>
          <w:rFonts w:cs="Arial"/>
          <w:lang w:val="ru-RU"/>
        </w:rPr>
        <w:t>принять</w:t>
      </w:r>
      <w:r w:rsidR="00046755" w:rsidRPr="00046755">
        <w:rPr>
          <w:rFonts w:cs="Arial"/>
          <w:lang w:val="ru-RU"/>
        </w:rPr>
        <w:t xml:space="preserve"> </w:t>
      </w:r>
      <w:r w:rsidR="00046755">
        <w:rPr>
          <w:rFonts w:cs="Arial"/>
          <w:lang w:val="ru-RU"/>
        </w:rPr>
        <w:t>во</w:t>
      </w:r>
      <w:r w:rsidR="00046755" w:rsidRPr="00046755">
        <w:rPr>
          <w:rFonts w:cs="Arial"/>
          <w:lang w:val="ru-RU"/>
        </w:rPr>
        <w:t xml:space="preserve"> </w:t>
      </w:r>
      <w:r w:rsidR="00046755">
        <w:rPr>
          <w:rFonts w:cs="Arial"/>
          <w:lang w:val="ru-RU"/>
        </w:rPr>
        <w:t>внимание</w:t>
      </w:r>
      <w:r w:rsidR="00046755" w:rsidRPr="00046755">
        <w:rPr>
          <w:rFonts w:cs="Arial"/>
          <w:lang w:val="ru-RU"/>
        </w:rPr>
        <w:t xml:space="preserve"> </w:t>
      </w:r>
      <w:r w:rsidR="00A007A9">
        <w:rPr>
          <w:rFonts w:cs="Arial"/>
          <w:lang w:val="ru-RU"/>
        </w:rPr>
        <w:t>информацию о статусе разработки национального законодательства в области автономного судовождения</w:t>
      </w:r>
      <w:r w:rsidR="00481FE4">
        <w:rPr>
          <w:rFonts w:cs="Arial"/>
          <w:lang w:val="ru-RU"/>
        </w:rPr>
        <w:t>, а также</w:t>
      </w:r>
      <w:r w:rsidR="00A007A9">
        <w:rPr>
          <w:rFonts w:cs="Arial"/>
          <w:lang w:val="ru-RU"/>
        </w:rPr>
        <w:t>:</w:t>
      </w:r>
    </w:p>
    <w:p w14:paraId="1D871D04" w14:textId="3843D4C2" w:rsidR="00EC09F4" w:rsidRDefault="00A007A9" w:rsidP="000672B6">
      <w:pPr>
        <w:ind w:left="851"/>
        <w:rPr>
          <w:rFonts w:cs="Arial"/>
          <w:lang w:val="ru-RU"/>
        </w:rPr>
      </w:pPr>
      <w:r>
        <w:rPr>
          <w:rFonts w:cs="Arial"/>
          <w:lang w:val="ru-RU"/>
        </w:rPr>
        <w:t>.1</w:t>
      </w:r>
      <w:r w:rsidR="000672B6">
        <w:rPr>
          <w:rFonts w:cs="Arial"/>
          <w:lang w:val="ru-RU"/>
        </w:rPr>
        <w:tab/>
        <w:t>обсудить разработку требований к судовому экипажу автономных судов и к специалистам по управлению автономными судами;</w:t>
      </w:r>
    </w:p>
    <w:p w14:paraId="1D45E78D" w14:textId="08A32D8B" w:rsidR="000672B6" w:rsidRDefault="000672B6" w:rsidP="000672B6">
      <w:pPr>
        <w:ind w:left="851"/>
        <w:rPr>
          <w:rFonts w:cs="Arial"/>
          <w:lang w:val="ru-RU"/>
        </w:rPr>
      </w:pPr>
      <w:r>
        <w:rPr>
          <w:rFonts w:cs="Arial"/>
          <w:lang w:val="ru-RU"/>
        </w:rPr>
        <w:t>.2</w:t>
      </w:r>
      <w:r>
        <w:rPr>
          <w:rFonts w:cs="Arial"/>
          <w:lang w:val="ru-RU"/>
        </w:rPr>
        <w:tab/>
        <w:t>рассмотреть вопрос формирования «внешнего» экипажа автономного судна и требований к нему;</w:t>
      </w:r>
    </w:p>
    <w:p w14:paraId="4D099506" w14:textId="1414ED58" w:rsidR="000672B6" w:rsidRDefault="000672B6" w:rsidP="000672B6">
      <w:pPr>
        <w:ind w:left="851"/>
        <w:rPr>
          <w:rFonts w:cs="Arial"/>
          <w:lang w:val="ru-RU"/>
        </w:rPr>
      </w:pPr>
      <w:r>
        <w:rPr>
          <w:rFonts w:cs="Arial"/>
          <w:lang w:val="ru-RU"/>
        </w:rPr>
        <w:t>.3</w:t>
      </w:r>
      <w:r>
        <w:rPr>
          <w:rFonts w:cs="Arial"/>
          <w:lang w:val="ru-RU"/>
        </w:rPr>
        <w:tab/>
        <w:t xml:space="preserve">рассмотреть вопрос страхования ответственности по рискам, связанным с эксплуатацией автономных судов, и, при необходимости, обратиться в </w:t>
      </w:r>
      <w:r w:rsidR="00481FE4">
        <w:rPr>
          <w:rFonts w:cs="Arial"/>
          <w:lang w:val="ru-RU"/>
        </w:rPr>
        <w:t>Ю</w:t>
      </w:r>
      <w:r>
        <w:rPr>
          <w:rFonts w:cs="Arial"/>
          <w:lang w:val="ru-RU"/>
        </w:rPr>
        <w:t xml:space="preserve">ридический </w:t>
      </w:r>
      <w:r w:rsidR="00481FE4">
        <w:rPr>
          <w:rFonts w:cs="Arial"/>
          <w:lang w:val="ru-RU"/>
        </w:rPr>
        <w:t>К</w:t>
      </w:r>
      <w:r>
        <w:rPr>
          <w:rFonts w:cs="Arial"/>
          <w:lang w:val="ru-RU"/>
        </w:rPr>
        <w:t>омитет за заключением соответственно;</w:t>
      </w:r>
    </w:p>
    <w:p w14:paraId="7716DAAD" w14:textId="64E9D75F" w:rsidR="000672B6" w:rsidRDefault="000672B6" w:rsidP="000672B6">
      <w:pPr>
        <w:ind w:left="851"/>
        <w:rPr>
          <w:rFonts w:cs="Arial"/>
          <w:lang w:val="ru-RU"/>
        </w:rPr>
      </w:pPr>
      <w:r>
        <w:rPr>
          <w:rFonts w:cs="Arial"/>
          <w:lang w:val="ru-RU"/>
        </w:rPr>
        <w:t>.4</w:t>
      </w:r>
      <w:r>
        <w:rPr>
          <w:rFonts w:cs="Arial"/>
          <w:lang w:val="ru-RU"/>
        </w:rPr>
        <w:tab/>
        <w:t>принять к сведению и прокомментировать, при необходимости, норму о признании национального регулирования эксплуатации автономных судов Государством флага при соблюдении применимых норм инструментов ИМО;</w:t>
      </w:r>
    </w:p>
    <w:p w14:paraId="79F84AD3" w14:textId="3C82905A" w:rsidR="000672B6" w:rsidRDefault="000672B6" w:rsidP="000672B6">
      <w:pPr>
        <w:ind w:left="851"/>
        <w:rPr>
          <w:rFonts w:cs="Arial"/>
          <w:lang w:val="ru-RU"/>
        </w:rPr>
      </w:pPr>
      <w:r>
        <w:rPr>
          <w:rFonts w:cs="Arial"/>
          <w:lang w:val="ru-RU"/>
        </w:rPr>
        <w:t>.5</w:t>
      </w:r>
      <w:r>
        <w:rPr>
          <w:rFonts w:cs="Arial"/>
          <w:lang w:val="ru-RU"/>
        </w:rPr>
        <w:tab/>
      </w:r>
      <w:r w:rsidR="00F40789">
        <w:rPr>
          <w:rFonts w:cs="Arial"/>
          <w:lang w:val="ru-RU"/>
        </w:rPr>
        <w:t>принять к сведению и прокомментировать, при необходимости, регулирование в части автономных пассажирских судов;</w:t>
      </w:r>
    </w:p>
    <w:p w14:paraId="1C8146E5" w14:textId="29E6C493" w:rsidR="000672B6" w:rsidRDefault="000672B6" w:rsidP="000672B6">
      <w:pPr>
        <w:ind w:left="851"/>
        <w:rPr>
          <w:rFonts w:cs="Arial"/>
          <w:lang w:val="ru-RU"/>
        </w:rPr>
      </w:pPr>
      <w:r>
        <w:rPr>
          <w:rFonts w:cs="Arial"/>
          <w:lang w:val="ru-RU"/>
        </w:rPr>
        <w:t>.</w:t>
      </w:r>
      <w:r w:rsidR="00F40789">
        <w:rPr>
          <w:rFonts w:cs="Arial"/>
          <w:lang w:val="ru-RU"/>
        </w:rPr>
        <w:t>6</w:t>
      </w:r>
      <w:r>
        <w:rPr>
          <w:rFonts w:cs="Arial"/>
          <w:lang w:val="ru-RU"/>
        </w:rPr>
        <w:tab/>
        <w:t>инициировать обсуждение регулирующих норм при осуществлении грузовых, бункеровочных и иных подобных операций с автономными судами</w:t>
      </w:r>
      <w:r w:rsidR="00F40789">
        <w:rPr>
          <w:rFonts w:cs="Arial"/>
          <w:lang w:val="ru-RU"/>
        </w:rPr>
        <w:t>.</w:t>
      </w:r>
    </w:p>
    <w:p w14:paraId="604777F9" w14:textId="77777777" w:rsidR="000672B6" w:rsidRDefault="000672B6" w:rsidP="000672B6">
      <w:pPr>
        <w:ind w:left="851"/>
        <w:rPr>
          <w:rFonts w:cs="Arial"/>
          <w:lang w:val="ru-RU"/>
        </w:rPr>
      </w:pPr>
    </w:p>
    <w:p w14:paraId="6C52ABDD" w14:textId="77777777" w:rsidR="000672B6" w:rsidRPr="00046755" w:rsidRDefault="000672B6" w:rsidP="00AC317C">
      <w:pPr>
        <w:rPr>
          <w:lang w:val="ru-RU"/>
        </w:rPr>
      </w:pPr>
    </w:p>
    <w:p w14:paraId="6ABD5B63" w14:textId="77777777" w:rsidR="00DF72B0" w:rsidRPr="00046755" w:rsidRDefault="00DF72B0" w:rsidP="00DF72B0">
      <w:pPr>
        <w:tabs>
          <w:tab w:val="clear" w:pos="851"/>
        </w:tabs>
        <w:rPr>
          <w:lang w:val="ru-RU"/>
        </w:rPr>
      </w:pPr>
    </w:p>
    <w:sectPr w:rsidR="00DF72B0" w:rsidRPr="00046755">
      <w:headerReference w:type="even" r:id="rId12"/>
      <w:headerReference w:type="default" r:id="rId13"/>
      <w:footerReference w:type="default" r:id="rId14"/>
      <w:footerReference w:type="first" r:id="rId15"/>
      <w:pgSz w:w="11906" w:h="16838" w:code="9"/>
      <w:pgMar w:top="1134" w:right="1418" w:bottom="1418" w:left="1418" w:header="851" w:footer="851"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E15CA" w14:textId="77777777" w:rsidR="00DC4D4D" w:rsidRDefault="00DC4D4D">
      <w:r>
        <w:separator/>
      </w:r>
    </w:p>
  </w:endnote>
  <w:endnote w:type="continuationSeparator" w:id="0">
    <w:p w14:paraId="61B90BE6" w14:textId="77777777" w:rsidR="00DC4D4D" w:rsidRDefault="00DC4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4BC0D" w14:textId="77777777" w:rsidR="00AF602F" w:rsidRDefault="00AF602F">
    <w:pPr>
      <w:pStyle w:val="a6"/>
    </w:pPr>
  </w:p>
  <w:p w14:paraId="7C8F1B1B" w14:textId="77777777" w:rsidR="00AF602F" w:rsidRDefault="00AF602F">
    <w:pPr>
      <w:pStyle w:val="a6"/>
      <w:pBdr>
        <w:top w:val="single" w:sz="4" w:space="1" w:color="auto"/>
      </w:pBdr>
    </w:pPr>
    <w:r>
      <w:rPr>
        <w:lang w:val="en-US"/>
      </w:rPr>
      <w:fldChar w:fldCharType="begin"/>
    </w:r>
    <w:r>
      <w:rPr>
        <w:lang w:val="en-US"/>
      </w:rPr>
      <w:instrText xml:space="preserve"> FILENAME \p </w:instrText>
    </w:r>
    <w:r>
      <w:rPr>
        <w:lang w:val="en-US"/>
      </w:rPr>
      <w:fldChar w:fldCharType="separate"/>
    </w:r>
    <w:r>
      <w:rPr>
        <w:noProof/>
        <w:lang w:val="en-US"/>
      </w:rPr>
      <w:t>C:\Users\gadde\Desktop\MEPC75-4-xx.docx</w:t>
    </w:r>
    <w:r>
      <w:rPr>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5E6CF" w14:textId="77777777" w:rsidR="00AF602F" w:rsidRDefault="00AF602F" w:rsidP="00A527BA">
    <w:pPr>
      <w:pStyle w:val="a6"/>
    </w:pPr>
  </w:p>
  <w:p w14:paraId="23545537" w14:textId="77777777" w:rsidR="00AF602F" w:rsidRDefault="00DC4D4D" w:rsidP="00A527BA">
    <w:pPr>
      <w:pStyle w:val="a6"/>
      <w:pBdr>
        <w:top w:val="single" w:sz="4" w:space="1" w:color="auto"/>
      </w:pBdr>
    </w:pPr>
    <w:r>
      <w:fldChar w:fldCharType="begin"/>
    </w:r>
    <w:r>
      <w:instrText xml:space="preserve"> FILENAME \p </w:instrText>
    </w:r>
    <w:r>
      <w:fldChar w:fldCharType="separate"/>
    </w:r>
    <w:r w:rsidR="00AF602F">
      <w:rPr>
        <w:noProof/>
      </w:rPr>
      <w:t>C:\Users\gadde\Desktop\MEPC75-4-xx.docx</w:t>
    </w:r>
    <w:r>
      <w:rPr>
        <w:noProof/>
      </w:rPr>
      <w:fldChar w:fldCharType="end"/>
    </w:r>
  </w:p>
  <w:p w14:paraId="7555D36D" w14:textId="085318B4" w:rsidR="00AF602F" w:rsidRDefault="00AF602F">
    <w:pPr>
      <w:pStyle w:val="a6"/>
      <w:pBdr>
        <w:top w:val="single" w:sz="4" w:space="1" w:color="auto"/>
      </w:pBdr>
      <w:jc w:val="right"/>
      <w:rPr>
        <w:lang w:val="en-US"/>
      </w:rPr>
    </w:pPr>
    <w:r>
      <w:rPr>
        <w:noProof/>
        <w:lang w:val="ru-RU" w:eastAsia="ru-RU"/>
      </w:rPr>
      <w:drawing>
        <wp:inline distT="0" distB="0" distL="0" distR="0" wp14:anchorId="76E77306" wp14:editId="670B5FC3">
          <wp:extent cx="1799421" cy="651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EN.jpg"/>
                  <pic:cNvPicPr/>
                </pic:nvPicPr>
                <pic:blipFill>
                  <a:blip r:embed="rId1">
                    <a:extLst>
                      <a:ext uri="{28A0092B-C50C-407E-A947-70E740481C1C}">
                        <a14:useLocalDpi xmlns:a14="http://schemas.microsoft.com/office/drawing/2010/main" val="0"/>
                      </a:ext>
                    </a:extLst>
                  </a:blip>
                  <a:stretch>
                    <a:fillRect/>
                  </a:stretch>
                </pic:blipFill>
                <pic:spPr>
                  <a:xfrm>
                    <a:off x="0" y="0"/>
                    <a:ext cx="1873958" cy="67851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0E989" w14:textId="77777777" w:rsidR="00DC4D4D" w:rsidRDefault="00DC4D4D">
      <w:r>
        <w:separator/>
      </w:r>
    </w:p>
  </w:footnote>
  <w:footnote w:type="continuationSeparator" w:id="0">
    <w:p w14:paraId="599AD04E" w14:textId="77777777" w:rsidR="00DC4D4D" w:rsidRDefault="00DC4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DA7C9" w14:textId="77777777" w:rsidR="00AF602F" w:rsidRDefault="00AF602F">
    <w:pPr>
      <w:pStyle w:val="a4"/>
    </w:pPr>
    <w:bookmarkStart w:id="14" w:name="symbol_headFootEven"/>
    <w:bookmarkEnd w:id="14"/>
  </w:p>
  <w:p w14:paraId="021A92A1" w14:textId="1E7746A3" w:rsidR="00AF602F" w:rsidRDefault="00AF602F">
    <w:pPr>
      <w:pStyle w:val="a4"/>
      <w:pBdr>
        <w:bottom w:val="single" w:sz="4" w:space="1" w:color="auto"/>
      </w:pBdr>
      <w:rPr>
        <w:rStyle w:val="a3"/>
      </w:rPr>
    </w:pPr>
    <w:r>
      <w:t xml:space="preserve">Page </w:t>
    </w:r>
    <w:r>
      <w:rPr>
        <w:rStyle w:val="a3"/>
      </w:rPr>
      <w:fldChar w:fldCharType="begin"/>
    </w:r>
    <w:r>
      <w:rPr>
        <w:rStyle w:val="a3"/>
      </w:rPr>
      <w:instrText xml:space="preserve"> PAGE </w:instrText>
    </w:r>
    <w:r>
      <w:rPr>
        <w:rStyle w:val="a3"/>
      </w:rPr>
      <w:fldChar w:fldCharType="separate"/>
    </w:r>
    <w:r w:rsidR="00913847">
      <w:rPr>
        <w:rStyle w:val="a3"/>
        <w:noProof/>
      </w:rPr>
      <w:t>4</w:t>
    </w:r>
    <w:r>
      <w:rPr>
        <w:rStyle w:val="a3"/>
      </w:rPr>
      <w:fldChar w:fldCharType="end"/>
    </w:r>
  </w:p>
  <w:p w14:paraId="5077DE57" w14:textId="77777777" w:rsidR="00AF602F" w:rsidRDefault="00AF602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A5744" w14:textId="77777777" w:rsidR="00AF602F" w:rsidRDefault="00AF602F">
    <w:pPr>
      <w:pStyle w:val="a4"/>
      <w:jc w:val="right"/>
    </w:pPr>
    <w:bookmarkStart w:id="15" w:name="symbol_headFoot"/>
    <w:bookmarkEnd w:id="15"/>
  </w:p>
  <w:p w14:paraId="287292BD" w14:textId="3F70A408" w:rsidR="00AF602F" w:rsidRDefault="00AF602F">
    <w:pPr>
      <w:pStyle w:val="a4"/>
      <w:pBdr>
        <w:bottom w:val="single" w:sz="4" w:space="1" w:color="auto"/>
      </w:pBdr>
      <w:jc w:val="right"/>
      <w:rPr>
        <w:rStyle w:val="a3"/>
      </w:rPr>
    </w:pPr>
    <w:r>
      <w:t xml:space="preserve">Page </w:t>
    </w:r>
    <w:r>
      <w:rPr>
        <w:rStyle w:val="a3"/>
      </w:rPr>
      <w:fldChar w:fldCharType="begin"/>
    </w:r>
    <w:r>
      <w:rPr>
        <w:rStyle w:val="a3"/>
      </w:rPr>
      <w:instrText xml:space="preserve"> PAGE </w:instrText>
    </w:r>
    <w:r>
      <w:rPr>
        <w:rStyle w:val="a3"/>
      </w:rPr>
      <w:fldChar w:fldCharType="separate"/>
    </w:r>
    <w:r w:rsidR="00913847">
      <w:rPr>
        <w:rStyle w:val="a3"/>
        <w:noProof/>
      </w:rPr>
      <w:t>3</w:t>
    </w:r>
    <w:r>
      <w:rPr>
        <w:rStyle w:val="a3"/>
      </w:rPr>
      <w:fldChar w:fldCharType="end"/>
    </w:r>
  </w:p>
  <w:p w14:paraId="4E7417A1" w14:textId="77777777" w:rsidR="00AF602F" w:rsidRDefault="00AF602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FD10D3EA"/>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306E52B4"/>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2AE88AD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3B104732"/>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8CF288B8"/>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0D8425C"/>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A6AEB1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57C1AB6"/>
    <w:multiLevelType w:val="hybridMultilevel"/>
    <w:tmpl w:val="E4CE50FC"/>
    <w:lvl w:ilvl="0" w:tplc="2ADCA2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D022A97"/>
    <w:multiLevelType w:val="hybridMultilevel"/>
    <w:tmpl w:val="71E4A740"/>
    <w:lvl w:ilvl="0" w:tplc="E7BC9E46">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0D103EBB"/>
    <w:multiLevelType w:val="hybridMultilevel"/>
    <w:tmpl w:val="AA8A14B8"/>
    <w:lvl w:ilvl="0" w:tplc="2ADCA234">
      <w:start w:val="1"/>
      <w:numFmt w:val="bullet"/>
      <w:lvlText w:val=""/>
      <w:lvlJc w:val="left"/>
      <w:pPr>
        <w:ind w:left="2061" w:hanging="360"/>
      </w:pPr>
      <w:rPr>
        <w:rFonts w:ascii="Symbol" w:hAnsi="Symbol" w:hint="default"/>
      </w:rPr>
    </w:lvl>
    <w:lvl w:ilvl="1" w:tplc="04190003" w:tentative="1">
      <w:start w:val="1"/>
      <w:numFmt w:val="bullet"/>
      <w:lvlText w:val="o"/>
      <w:lvlJc w:val="left"/>
      <w:pPr>
        <w:ind w:left="2781" w:hanging="360"/>
      </w:pPr>
      <w:rPr>
        <w:rFonts w:ascii="Courier New" w:hAnsi="Courier New" w:cs="Courier New" w:hint="default"/>
      </w:rPr>
    </w:lvl>
    <w:lvl w:ilvl="2" w:tplc="04190005" w:tentative="1">
      <w:start w:val="1"/>
      <w:numFmt w:val="bullet"/>
      <w:lvlText w:val=""/>
      <w:lvlJc w:val="left"/>
      <w:pPr>
        <w:ind w:left="3501" w:hanging="360"/>
      </w:pPr>
      <w:rPr>
        <w:rFonts w:ascii="Wingdings" w:hAnsi="Wingdings" w:hint="default"/>
      </w:rPr>
    </w:lvl>
    <w:lvl w:ilvl="3" w:tplc="04190001" w:tentative="1">
      <w:start w:val="1"/>
      <w:numFmt w:val="bullet"/>
      <w:lvlText w:val=""/>
      <w:lvlJc w:val="left"/>
      <w:pPr>
        <w:ind w:left="4221" w:hanging="360"/>
      </w:pPr>
      <w:rPr>
        <w:rFonts w:ascii="Symbol" w:hAnsi="Symbol" w:hint="default"/>
      </w:rPr>
    </w:lvl>
    <w:lvl w:ilvl="4" w:tplc="04190003" w:tentative="1">
      <w:start w:val="1"/>
      <w:numFmt w:val="bullet"/>
      <w:lvlText w:val="o"/>
      <w:lvlJc w:val="left"/>
      <w:pPr>
        <w:ind w:left="4941" w:hanging="360"/>
      </w:pPr>
      <w:rPr>
        <w:rFonts w:ascii="Courier New" w:hAnsi="Courier New" w:cs="Courier New" w:hint="default"/>
      </w:rPr>
    </w:lvl>
    <w:lvl w:ilvl="5" w:tplc="04190005" w:tentative="1">
      <w:start w:val="1"/>
      <w:numFmt w:val="bullet"/>
      <w:lvlText w:val=""/>
      <w:lvlJc w:val="left"/>
      <w:pPr>
        <w:ind w:left="5661" w:hanging="360"/>
      </w:pPr>
      <w:rPr>
        <w:rFonts w:ascii="Wingdings" w:hAnsi="Wingdings" w:hint="default"/>
      </w:rPr>
    </w:lvl>
    <w:lvl w:ilvl="6" w:tplc="04190001" w:tentative="1">
      <w:start w:val="1"/>
      <w:numFmt w:val="bullet"/>
      <w:lvlText w:val=""/>
      <w:lvlJc w:val="left"/>
      <w:pPr>
        <w:ind w:left="6381" w:hanging="360"/>
      </w:pPr>
      <w:rPr>
        <w:rFonts w:ascii="Symbol" w:hAnsi="Symbol" w:hint="default"/>
      </w:rPr>
    </w:lvl>
    <w:lvl w:ilvl="7" w:tplc="04190003" w:tentative="1">
      <w:start w:val="1"/>
      <w:numFmt w:val="bullet"/>
      <w:lvlText w:val="o"/>
      <w:lvlJc w:val="left"/>
      <w:pPr>
        <w:ind w:left="7101" w:hanging="360"/>
      </w:pPr>
      <w:rPr>
        <w:rFonts w:ascii="Courier New" w:hAnsi="Courier New" w:cs="Courier New" w:hint="default"/>
      </w:rPr>
    </w:lvl>
    <w:lvl w:ilvl="8" w:tplc="04190005" w:tentative="1">
      <w:start w:val="1"/>
      <w:numFmt w:val="bullet"/>
      <w:lvlText w:val=""/>
      <w:lvlJc w:val="left"/>
      <w:pPr>
        <w:ind w:left="7821" w:hanging="360"/>
      </w:pPr>
      <w:rPr>
        <w:rFonts w:ascii="Wingdings" w:hAnsi="Wingdings" w:hint="default"/>
      </w:rPr>
    </w:lvl>
  </w:abstractNum>
  <w:abstractNum w:abstractNumId="10" w15:restartNumberingAfterBreak="0">
    <w:nsid w:val="0E5C0CD3"/>
    <w:multiLevelType w:val="hybridMultilevel"/>
    <w:tmpl w:val="3802EC58"/>
    <w:lvl w:ilvl="0" w:tplc="2ADCA2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3C57E73"/>
    <w:multiLevelType w:val="hybridMultilevel"/>
    <w:tmpl w:val="AED80C54"/>
    <w:lvl w:ilvl="0" w:tplc="2ADCA2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C24BCF"/>
    <w:multiLevelType w:val="hybridMultilevel"/>
    <w:tmpl w:val="21F87AEC"/>
    <w:lvl w:ilvl="0" w:tplc="2ADCA2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95307AA"/>
    <w:multiLevelType w:val="hybridMultilevel"/>
    <w:tmpl w:val="A9EA0820"/>
    <w:lvl w:ilvl="0" w:tplc="FF9CC72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30B1208C"/>
    <w:multiLevelType w:val="hybridMultilevel"/>
    <w:tmpl w:val="A4E2F1A4"/>
    <w:lvl w:ilvl="0" w:tplc="4E1E609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4B94F0A"/>
    <w:multiLevelType w:val="hybridMultilevel"/>
    <w:tmpl w:val="D43A5AB8"/>
    <w:lvl w:ilvl="0" w:tplc="2ADCA2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DD60431"/>
    <w:multiLevelType w:val="hybridMultilevel"/>
    <w:tmpl w:val="31DE82AE"/>
    <w:lvl w:ilvl="0" w:tplc="0C1018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46321CBB"/>
    <w:multiLevelType w:val="hybridMultilevel"/>
    <w:tmpl w:val="F52E71A8"/>
    <w:lvl w:ilvl="0" w:tplc="0EEA86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B106073"/>
    <w:multiLevelType w:val="multilevel"/>
    <w:tmpl w:val="C11CE3D2"/>
    <w:lvl w:ilvl="0">
      <w:start w:val="1"/>
      <w:numFmt w:val="decimal"/>
      <w:lvlText w:val="%1."/>
      <w:lvlJc w:val="left"/>
      <w:pPr>
        <w:ind w:left="450" w:hanging="45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0D71E26"/>
    <w:multiLevelType w:val="hybridMultilevel"/>
    <w:tmpl w:val="B57A7FA4"/>
    <w:lvl w:ilvl="0" w:tplc="2ADCA234">
      <w:start w:val="1"/>
      <w:numFmt w:val="bullet"/>
      <w:lvlText w:val=""/>
      <w:lvlJc w:val="left"/>
      <w:pPr>
        <w:ind w:left="2061" w:hanging="360"/>
      </w:pPr>
      <w:rPr>
        <w:rFonts w:ascii="Symbol" w:hAnsi="Symbol" w:hint="default"/>
      </w:rPr>
    </w:lvl>
    <w:lvl w:ilvl="1" w:tplc="04190003" w:tentative="1">
      <w:start w:val="1"/>
      <w:numFmt w:val="bullet"/>
      <w:lvlText w:val="o"/>
      <w:lvlJc w:val="left"/>
      <w:pPr>
        <w:ind w:left="2781" w:hanging="360"/>
      </w:pPr>
      <w:rPr>
        <w:rFonts w:ascii="Courier New" w:hAnsi="Courier New" w:cs="Courier New" w:hint="default"/>
      </w:rPr>
    </w:lvl>
    <w:lvl w:ilvl="2" w:tplc="04190005" w:tentative="1">
      <w:start w:val="1"/>
      <w:numFmt w:val="bullet"/>
      <w:lvlText w:val=""/>
      <w:lvlJc w:val="left"/>
      <w:pPr>
        <w:ind w:left="3501" w:hanging="360"/>
      </w:pPr>
      <w:rPr>
        <w:rFonts w:ascii="Wingdings" w:hAnsi="Wingdings" w:hint="default"/>
      </w:rPr>
    </w:lvl>
    <w:lvl w:ilvl="3" w:tplc="04190001" w:tentative="1">
      <w:start w:val="1"/>
      <w:numFmt w:val="bullet"/>
      <w:lvlText w:val=""/>
      <w:lvlJc w:val="left"/>
      <w:pPr>
        <w:ind w:left="4221" w:hanging="360"/>
      </w:pPr>
      <w:rPr>
        <w:rFonts w:ascii="Symbol" w:hAnsi="Symbol" w:hint="default"/>
      </w:rPr>
    </w:lvl>
    <w:lvl w:ilvl="4" w:tplc="04190003" w:tentative="1">
      <w:start w:val="1"/>
      <w:numFmt w:val="bullet"/>
      <w:lvlText w:val="o"/>
      <w:lvlJc w:val="left"/>
      <w:pPr>
        <w:ind w:left="4941" w:hanging="360"/>
      </w:pPr>
      <w:rPr>
        <w:rFonts w:ascii="Courier New" w:hAnsi="Courier New" w:cs="Courier New" w:hint="default"/>
      </w:rPr>
    </w:lvl>
    <w:lvl w:ilvl="5" w:tplc="04190005" w:tentative="1">
      <w:start w:val="1"/>
      <w:numFmt w:val="bullet"/>
      <w:lvlText w:val=""/>
      <w:lvlJc w:val="left"/>
      <w:pPr>
        <w:ind w:left="5661" w:hanging="360"/>
      </w:pPr>
      <w:rPr>
        <w:rFonts w:ascii="Wingdings" w:hAnsi="Wingdings" w:hint="default"/>
      </w:rPr>
    </w:lvl>
    <w:lvl w:ilvl="6" w:tplc="04190001" w:tentative="1">
      <w:start w:val="1"/>
      <w:numFmt w:val="bullet"/>
      <w:lvlText w:val=""/>
      <w:lvlJc w:val="left"/>
      <w:pPr>
        <w:ind w:left="6381" w:hanging="360"/>
      </w:pPr>
      <w:rPr>
        <w:rFonts w:ascii="Symbol" w:hAnsi="Symbol" w:hint="default"/>
      </w:rPr>
    </w:lvl>
    <w:lvl w:ilvl="7" w:tplc="04190003" w:tentative="1">
      <w:start w:val="1"/>
      <w:numFmt w:val="bullet"/>
      <w:lvlText w:val="o"/>
      <w:lvlJc w:val="left"/>
      <w:pPr>
        <w:ind w:left="7101" w:hanging="360"/>
      </w:pPr>
      <w:rPr>
        <w:rFonts w:ascii="Courier New" w:hAnsi="Courier New" w:cs="Courier New" w:hint="default"/>
      </w:rPr>
    </w:lvl>
    <w:lvl w:ilvl="8" w:tplc="04190005" w:tentative="1">
      <w:start w:val="1"/>
      <w:numFmt w:val="bullet"/>
      <w:lvlText w:val=""/>
      <w:lvlJc w:val="left"/>
      <w:pPr>
        <w:ind w:left="7821" w:hanging="360"/>
      </w:pPr>
      <w:rPr>
        <w:rFonts w:ascii="Wingdings" w:hAnsi="Wingdings" w:hint="default"/>
      </w:rPr>
    </w:lvl>
  </w:abstractNum>
  <w:abstractNum w:abstractNumId="20" w15:restartNumberingAfterBreak="0">
    <w:nsid w:val="51614DC3"/>
    <w:multiLevelType w:val="hybridMultilevel"/>
    <w:tmpl w:val="A5BA549A"/>
    <w:lvl w:ilvl="0" w:tplc="0CF6B7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686418D7"/>
    <w:multiLevelType w:val="hybridMultilevel"/>
    <w:tmpl w:val="4A946FC0"/>
    <w:lvl w:ilvl="0" w:tplc="2ADCA2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B09145E"/>
    <w:multiLevelType w:val="hybridMultilevel"/>
    <w:tmpl w:val="278440C0"/>
    <w:lvl w:ilvl="0" w:tplc="DF984400">
      <w:start w:val="2"/>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6BFD27BB"/>
    <w:multiLevelType w:val="hybridMultilevel"/>
    <w:tmpl w:val="C406BFDE"/>
    <w:lvl w:ilvl="0" w:tplc="2ADCA2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C9A2885"/>
    <w:multiLevelType w:val="hybridMultilevel"/>
    <w:tmpl w:val="865CEEA2"/>
    <w:lvl w:ilvl="0" w:tplc="6F6033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70301E3C"/>
    <w:multiLevelType w:val="hybridMultilevel"/>
    <w:tmpl w:val="3678F3EA"/>
    <w:lvl w:ilvl="0" w:tplc="A754CD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2D34CF6"/>
    <w:multiLevelType w:val="hybridMultilevel"/>
    <w:tmpl w:val="6CDE0CB0"/>
    <w:lvl w:ilvl="0" w:tplc="2ADCA2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46650F2"/>
    <w:multiLevelType w:val="multilevel"/>
    <w:tmpl w:val="4E5ECE4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25"/>
  </w:num>
  <w:num w:numId="9">
    <w:abstractNumId w:val="17"/>
  </w:num>
  <w:num w:numId="10">
    <w:abstractNumId w:val="14"/>
  </w:num>
  <w:num w:numId="11">
    <w:abstractNumId w:val="27"/>
  </w:num>
  <w:num w:numId="12">
    <w:abstractNumId w:val="19"/>
  </w:num>
  <w:num w:numId="13">
    <w:abstractNumId w:val="10"/>
  </w:num>
  <w:num w:numId="14">
    <w:abstractNumId w:val="21"/>
  </w:num>
  <w:num w:numId="15">
    <w:abstractNumId w:val="22"/>
  </w:num>
  <w:num w:numId="16">
    <w:abstractNumId w:val="12"/>
  </w:num>
  <w:num w:numId="17">
    <w:abstractNumId w:val="26"/>
  </w:num>
  <w:num w:numId="18">
    <w:abstractNumId w:val="11"/>
  </w:num>
  <w:num w:numId="19">
    <w:abstractNumId w:val="18"/>
  </w:num>
  <w:num w:numId="20">
    <w:abstractNumId w:val="15"/>
  </w:num>
  <w:num w:numId="21">
    <w:abstractNumId w:val="7"/>
  </w:num>
  <w:num w:numId="22">
    <w:abstractNumId w:val="23"/>
  </w:num>
  <w:num w:numId="23">
    <w:abstractNumId w:val="9"/>
  </w:num>
  <w:num w:numId="24">
    <w:abstractNumId w:val="8"/>
  </w:num>
  <w:num w:numId="25">
    <w:abstractNumId w:val="16"/>
  </w:num>
  <w:num w:numId="26">
    <w:abstractNumId w:val="13"/>
  </w:num>
  <w:num w:numId="27">
    <w:abstractNumId w:val="2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evenAndOddHeaders/>
  <w:drawingGridHorizontalSpacing w:val="12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nnexno" w:val="1"/>
    <w:docVar w:name="AskAnnex" w:val="Yes"/>
    <w:docVar w:name="Div" w:val="  "/>
    <w:docVar w:name="SingleAnnex" w:val="No"/>
    <w:docVar w:name="Symbol" w:val="789"/>
  </w:docVars>
  <w:rsids>
    <w:rsidRoot w:val="00911084"/>
    <w:rsid w:val="0003069D"/>
    <w:rsid w:val="00046755"/>
    <w:rsid w:val="00050D46"/>
    <w:rsid w:val="000672B6"/>
    <w:rsid w:val="00091B36"/>
    <w:rsid w:val="000942B4"/>
    <w:rsid w:val="000B3050"/>
    <w:rsid w:val="000F626E"/>
    <w:rsid w:val="00115153"/>
    <w:rsid w:val="0012184B"/>
    <w:rsid w:val="00135842"/>
    <w:rsid w:val="0014125A"/>
    <w:rsid w:val="00154444"/>
    <w:rsid w:val="00155F0C"/>
    <w:rsid w:val="0019457D"/>
    <w:rsid w:val="001B3509"/>
    <w:rsid w:val="001B4421"/>
    <w:rsid w:val="001C42BF"/>
    <w:rsid w:val="001D50F5"/>
    <w:rsid w:val="00202603"/>
    <w:rsid w:val="00245368"/>
    <w:rsid w:val="002517AA"/>
    <w:rsid w:val="00264072"/>
    <w:rsid w:val="002A2E4A"/>
    <w:rsid w:val="002C460B"/>
    <w:rsid w:val="002D686A"/>
    <w:rsid w:val="002F0431"/>
    <w:rsid w:val="00302A95"/>
    <w:rsid w:val="00304757"/>
    <w:rsid w:val="00305410"/>
    <w:rsid w:val="00312766"/>
    <w:rsid w:val="00315C39"/>
    <w:rsid w:val="003567F9"/>
    <w:rsid w:val="003652D7"/>
    <w:rsid w:val="003660D6"/>
    <w:rsid w:val="0036746F"/>
    <w:rsid w:val="00371EDF"/>
    <w:rsid w:val="00385A15"/>
    <w:rsid w:val="00393A1D"/>
    <w:rsid w:val="003940FD"/>
    <w:rsid w:val="003C29C0"/>
    <w:rsid w:val="003C33DD"/>
    <w:rsid w:val="003D41B4"/>
    <w:rsid w:val="00437648"/>
    <w:rsid w:val="00453131"/>
    <w:rsid w:val="004643FB"/>
    <w:rsid w:val="00465D32"/>
    <w:rsid w:val="00476BE1"/>
    <w:rsid w:val="004800C7"/>
    <w:rsid w:val="00481FE4"/>
    <w:rsid w:val="00482D09"/>
    <w:rsid w:val="00486ECD"/>
    <w:rsid w:val="004955BA"/>
    <w:rsid w:val="004A6E62"/>
    <w:rsid w:val="004B4E0E"/>
    <w:rsid w:val="004D4BC1"/>
    <w:rsid w:val="004D528F"/>
    <w:rsid w:val="004F177D"/>
    <w:rsid w:val="004F59D1"/>
    <w:rsid w:val="00500B12"/>
    <w:rsid w:val="005545F4"/>
    <w:rsid w:val="00592438"/>
    <w:rsid w:val="005C4B0D"/>
    <w:rsid w:val="005E7C2F"/>
    <w:rsid w:val="005F1A8F"/>
    <w:rsid w:val="00601884"/>
    <w:rsid w:val="006137B0"/>
    <w:rsid w:val="006257A3"/>
    <w:rsid w:val="006D7812"/>
    <w:rsid w:val="006F25EB"/>
    <w:rsid w:val="0075080D"/>
    <w:rsid w:val="00752F50"/>
    <w:rsid w:val="007560CD"/>
    <w:rsid w:val="00765F45"/>
    <w:rsid w:val="007720D9"/>
    <w:rsid w:val="00792881"/>
    <w:rsid w:val="007A232C"/>
    <w:rsid w:val="007A5D3B"/>
    <w:rsid w:val="007B33F4"/>
    <w:rsid w:val="007C09A9"/>
    <w:rsid w:val="007C0C5B"/>
    <w:rsid w:val="007C3B78"/>
    <w:rsid w:val="007D45E6"/>
    <w:rsid w:val="007E291A"/>
    <w:rsid w:val="007E7958"/>
    <w:rsid w:val="007F161B"/>
    <w:rsid w:val="007F5A79"/>
    <w:rsid w:val="00803E8E"/>
    <w:rsid w:val="0082448E"/>
    <w:rsid w:val="00880C48"/>
    <w:rsid w:val="008A33C5"/>
    <w:rsid w:val="008B404C"/>
    <w:rsid w:val="008C3A8F"/>
    <w:rsid w:val="00910158"/>
    <w:rsid w:val="00911084"/>
    <w:rsid w:val="00911A1D"/>
    <w:rsid w:val="00913847"/>
    <w:rsid w:val="00913F1C"/>
    <w:rsid w:val="0091661C"/>
    <w:rsid w:val="00926633"/>
    <w:rsid w:val="009431D7"/>
    <w:rsid w:val="009517D7"/>
    <w:rsid w:val="00957E0D"/>
    <w:rsid w:val="0098406B"/>
    <w:rsid w:val="009C03A2"/>
    <w:rsid w:val="009C4FEB"/>
    <w:rsid w:val="009D6876"/>
    <w:rsid w:val="00A0045A"/>
    <w:rsid w:val="00A007A9"/>
    <w:rsid w:val="00A150F7"/>
    <w:rsid w:val="00A22F03"/>
    <w:rsid w:val="00A527BA"/>
    <w:rsid w:val="00A87B52"/>
    <w:rsid w:val="00AC317C"/>
    <w:rsid w:val="00AF602F"/>
    <w:rsid w:val="00B061EF"/>
    <w:rsid w:val="00B30E58"/>
    <w:rsid w:val="00B36B37"/>
    <w:rsid w:val="00B65021"/>
    <w:rsid w:val="00B71E0D"/>
    <w:rsid w:val="00B83D62"/>
    <w:rsid w:val="00BB281C"/>
    <w:rsid w:val="00BB6EF4"/>
    <w:rsid w:val="00BE10C2"/>
    <w:rsid w:val="00C0429F"/>
    <w:rsid w:val="00C05786"/>
    <w:rsid w:val="00C45E13"/>
    <w:rsid w:val="00C53AC6"/>
    <w:rsid w:val="00C97972"/>
    <w:rsid w:val="00CA1E1C"/>
    <w:rsid w:val="00CC53DC"/>
    <w:rsid w:val="00D10E97"/>
    <w:rsid w:val="00D15A77"/>
    <w:rsid w:val="00D26721"/>
    <w:rsid w:val="00D625AD"/>
    <w:rsid w:val="00D916F7"/>
    <w:rsid w:val="00DC2DB9"/>
    <w:rsid w:val="00DC42E0"/>
    <w:rsid w:val="00DC4D4D"/>
    <w:rsid w:val="00DC659F"/>
    <w:rsid w:val="00DD2A0C"/>
    <w:rsid w:val="00DE3D6F"/>
    <w:rsid w:val="00DF71DB"/>
    <w:rsid w:val="00DF72B0"/>
    <w:rsid w:val="00E102EE"/>
    <w:rsid w:val="00E21AF1"/>
    <w:rsid w:val="00E307ED"/>
    <w:rsid w:val="00E612A0"/>
    <w:rsid w:val="00E66D38"/>
    <w:rsid w:val="00E931CF"/>
    <w:rsid w:val="00EA5626"/>
    <w:rsid w:val="00EC09F4"/>
    <w:rsid w:val="00F15415"/>
    <w:rsid w:val="00F16627"/>
    <w:rsid w:val="00F2600B"/>
    <w:rsid w:val="00F40789"/>
    <w:rsid w:val="00F41638"/>
    <w:rsid w:val="00F45DCD"/>
    <w:rsid w:val="00F50BF2"/>
    <w:rsid w:val="00F673C6"/>
    <w:rsid w:val="00F70BA7"/>
    <w:rsid w:val="00F95433"/>
    <w:rsid w:val="00F979DA"/>
    <w:rsid w:val="00FA2D59"/>
    <w:rsid w:val="00FA5544"/>
    <w:rsid w:val="00FB20F5"/>
    <w:rsid w:val="00FC3BE0"/>
    <w:rsid w:val="00FD694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F78F40"/>
  <w15:docId w15:val="{1BAC7016-55F4-4812-9ABB-358DD8F83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tabs>
        <w:tab w:val="left" w:pos="851"/>
      </w:tabs>
      <w:jc w:val="both"/>
    </w:pPr>
    <w:rPr>
      <w:rFonts w:ascii="Arial" w:hAnsi="Arial"/>
      <w:sz w:val="22"/>
      <w:lang w:eastAsia="en-US"/>
    </w:rPr>
  </w:style>
  <w:style w:type="paragraph" w:styleId="1">
    <w:name w:val="heading 1"/>
    <w:basedOn w:val="a"/>
    <w:next w:val="a"/>
    <w:qFormat/>
    <w:pPr>
      <w:outlineLvl w:val="0"/>
    </w:pPr>
  </w:style>
  <w:style w:type="paragraph" w:styleId="2">
    <w:name w:val="heading 2"/>
    <w:basedOn w:val="a"/>
    <w:next w:val="a"/>
    <w:qFormat/>
    <w:pPr>
      <w:outlineLvl w:val="1"/>
    </w:pPr>
  </w:style>
  <w:style w:type="paragraph" w:styleId="3">
    <w:name w:val="heading 3"/>
    <w:basedOn w:val="a"/>
    <w:next w:val="a"/>
    <w:qFormat/>
    <w:pPr>
      <w:outlineLvl w:val="2"/>
    </w:pPr>
  </w:style>
  <w:style w:type="paragraph" w:styleId="4">
    <w:name w:val="heading 4"/>
    <w:basedOn w:val="a"/>
    <w:next w:val="a"/>
    <w:qFormat/>
    <w:pPr>
      <w:outlineLvl w:val="3"/>
    </w:pPr>
  </w:style>
  <w:style w:type="paragraph" w:styleId="5">
    <w:name w:val="heading 5"/>
    <w:basedOn w:val="a"/>
    <w:next w:val="a"/>
    <w:link w:val="50"/>
    <w:uiPriority w:val="9"/>
    <w:unhideWhenUsed/>
    <w:qFormat/>
    <w:rsid w:val="00437648"/>
    <w:pPr>
      <w:keepNext/>
      <w:keepLines/>
      <w:spacing w:before="200"/>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link w:val="a5"/>
    <w:uiPriority w:val="99"/>
    <w:pPr>
      <w:tabs>
        <w:tab w:val="center" w:pos="4153"/>
        <w:tab w:val="right" w:pos="8306"/>
      </w:tabs>
    </w:pPr>
  </w:style>
  <w:style w:type="paragraph" w:styleId="a6">
    <w:name w:val="footer"/>
    <w:basedOn w:val="a"/>
    <w:link w:val="a7"/>
    <w:uiPriority w:val="99"/>
    <w:pPr>
      <w:tabs>
        <w:tab w:val="center" w:pos="4153"/>
        <w:tab w:val="right" w:pos="8306"/>
      </w:tabs>
    </w:pPr>
    <w:rPr>
      <w:sz w:val="18"/>
    </w:rPr>
  </w:style>
  <w:style w:type="table" w:styleId="a8">
    <w:name w:val="Table Grid"/>
    <w:basedOn w:val="a1"/>
    <w:uiPriority w:val="3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a"/>
    <w:pPr>
      <w:jc w:val="left"/>
    </w:pPr>
    <w:rPr>
      <w:szCs w:val="24"/>
      <w:lang w:val="pl-PL" w:eastAsia="pl-PL"/>
    </w:rPr>
  </w:style>
  <w:style w:type="character" w:styleId="a9">
    <w:name w:val="footnote reference"/>
    <w:rPr>
      <w:rFonts w:ascii="Arial" w:hAnsi="Arial"/>
      <w:sz w:val="22"/>
      <w:vertAlign w:val="superscript"/>
    </w:rPr>
  </w:style>
  <w:style w:type="paragraph" w:styleId="aa">
    <w:name w:val="footnote text"/>
    <w:basedOn w:val="a"/>
    <w:link w:val="ab"/>
    <w:uiPriority w:val="99"/>
    <w:pPr>
      <w:tabs>
        <w:tab w:val="clear" w:pos="851"/>
        <w:tab w:val="left" w:pos="567"/>
      </w:tabs>
      <w:ind w:left="567" w:hanging="567"/>
    </w:pPr>
    <w:rPr>
      <w:sz w:val="18"/>
    </w:rPr>
  </w:style>
  <w:style w:type="paragraph" w:styleId="ac">
    <w:name w:val="Balloon Text"/>
    <w:basedOn w:val="a"/>
    <w:link w:val="ad"/>
    <w:uiPriority w:val="99"/>
    <w:semiHidden/>
    <w:unhideWhenUsed/>
    <w:rsid w:val="00385A15"/>
    <w:rPr>
      <w:rFonts w:ascii="Tahoma" w:hAnsi="Tahoma" w:cs="Tahoma"/>
      <w:sz w:val="16"/>
      <w:szCs w:val="16"/>
    </w:rPr>
  </w:style>
  <w:style w:type="character" w:customStyle="1" w:styleId="ad">
    <w:name w:val="Текст выноски Знак"/>
    <w:basedOn w:val="a0"/>
    <w:link w:val="ac"/>
    <w:uiPriority w:val="99"/>
    <w:semiHidden/>
    <w:rsid w:val="00385A15"/>
    <w:rPr>
      <w:rFonts w:ascii="Tahoma" w:hAnsi="Tahoma" w:cs="Tahoma"/>
      <w:sz w:val="16"/>
      <w:szCs w:val="16"/>
      <w:lang w:eastAsia="en-US"/>
    </w:rPr>
  </w:style>
  <w:style w:type="paragraph" w:customStyle="1" w:styleId="Default">
    <w:name w:val="Default"/>
    <w:rsid w:val="00910158"/>
    <w:pPr>
      <w:autoSpaceDE w:val="0"/>
      <w:autoSpaceDN w:val="0"/>
      <w:adjustRightInd w:val="0"/>
    </w:pPr>
    <w:rPr>
      <w:rFonts w:ascii="Arial" w:hAnsi="Arial" w:cs="Arial"/>
      <w:color w:val="000000"/>
      <w:sz w:val="24"/>
      <w:szCs w:val="24"/>
    </w:rPr>
  </w:style>
  <w:style w:type="paragraph" w:styleId="ae">
    <w:name w:val="List Paragraph"/>
    <w:basedOn w:val="a"/>
    <w:uiPriority w:val="34"/>
    <w:qFormat/>
    <w:rsid w:val="00264072"/>
    <w:pPr>
      <w:ind w:left="720"/>
      <w:contextualSpacing/>
    </w:pPr>
  </w:style>
  <w:style w:type="character" w:customStyle="1" w:styleId="50">
    <w:name w:val="Заголовок 5 Знак"/>
    <w:basedOn w:val="a0"/>
    <w:link w:val="5"/>
    <w:uiPriority w:val="9"/>
    <w:rsid w:val="00437648"/>
    <w:rPr>
      <w:rFonts w:asciiTheme="majorHAnsi" w:eastAsiaTheme="majorEastAsia" w:hAnsiTheme="majorHAnsi" w:cstheme="majorBidi"/>
      <w:color w:val="1F4D78" w:themeColor="accent1" w:themeShade="7F"/>
      <w:sz w:val="22"/>
      <w:lang w:eastAsia="en-US"/>
    </w:rPr>
  </w:style>
  <w:style w:type="character" w:styleId="af">
    <w:name w:val="annotation reference"/>
    <w:basedOn w:val="a0"/>
    <w:uiPriority w:val="99"/>
    <w:semiHidden/>
    <w:unhideWhenUsed/>
    <w:rsid w:val="00A22F03"/>
    <w:rPr>
      <w:sz w:val="16"/>
      <w:szCs w:val="16"/>
    </w:rPr>
  </w:style>
  <w:style w:type="paragraph" w:styleId="af0">
    <w:name w:val="annotation text"/>
    <w:basedOn w:val="a"/>
    <w:link w:val="af1"/>
    <w:uiPriority w:val="99"/>
    <w:semiHidden/>
    <w:unhideWhenUsed/>
    <w:rsid w:val="00A22F03"/>
    <w:pPr>
      <w:tabs>
        <w:tab w:val="clear" w:pos="851"/>
      </w:tabs>
      <w:spacing w:after="160"/>
      <w:jc w:val="left"/>
    </w:pPr>
    <w:rPr>
      <w:rFonts w:asciiTheme="minorHAnsi" w:eastAsiaTheme="minorHAnsi" w:hAnsiTheme="minorHAnsi" w:cstheme="minorBidi"/>
      <w:sz w:val="20"/>
      <w:lang w:val="ru-RU"/>
    </w:rPr>
  </w:style>
  <w:style w:type="character" w:customStyle="1" w:styleId="af1">
    <w:name w:val="Текст примечания Знак"/>
    <w:basedOn w:val="a0"/>
    <w:link w:val="af0"/>
    <w:uiPriority w:val="99"/>
    <w:semiHidden/>
    <w:rsid w:val="00A22F03"/>
    <w:rPr>
      <w:rFonts w:asciiTheme="minorHAnsi" w:eastAsiaTheme="minorHAnsi" w:hAnsiTheme="minorHAnsi" w:cstheme="minorBidi"/>
      <w:lang w:val="ru-RU" w:eastAsia="en-US"/>
    </w:rPr>
  </w:style>
  <w:style w:type="paragraph" w:styleId="af2">
    <w:name w:val="annotation subject"/>
    <w:basedOn w:val="af0"/>
    <w:next w:val="af0"/>
    <w:link w:val="af3"/>
    <w:uiPriority w:val="99"/>
    <w:semiHidden/>
    <w:unhideWhenUsed/>
    <w:rsid w:val="00A22F03"/>
    <w:rPr>
      <w:b/>
      <w:bCs/>
    </w:rPr>
  </w:style>
  <w:style w:type="character" w:customStyle="1" w:styleId="af3">
    <w:name w:val="Тема примечания Знак"/>
    <w:basedOn w:val="af1"/>
    <w:link w:val="af2"/>
    <w:uiPriority w:val="99"/>
    <w:semiHidden/>
    <w:rsid w:val="00A22F03"/>
    <w:rPr>
      <w:rFonts w:asciiTheme="minorHAnsi" w:eastAsiaTheme="minorHAnsi" w:hAnsiTheme="minorHAnsi" w:cstheme="minorBidi"/>
      <w:b/>
      <w:bCs/>
      <w:lang w:val="ru-RU" w:eastAsia="en-US"/>
    </w:rPr>
  </w:style>
  <w:style w:type="character" w:customStyle="1" w:styleId="a5">
    <w:name w:val="Верхний колонтитул Знак"/>
    <w:basedOn w:val="a0"/>
    <w:link w:val="a4"/>
    <w:uiPriority w:val="99"/>
    <w:rsid w:val="00A22F03"/>
    <w:rPr>
      <w:rFonts w:ascii="Arial" w:hAnsi="Arial"/>
      <w:sz w:val="22"/>
      <w:lang w:eastAsia="en-US"/>
    </w:rPr>
  </w:style>
  <w:style w:type="character" w:customStyle="1" w:styleId="a7">
    <w:name w:val="Нижний колонтитул Знак"/>
    <w:basedOn w:val="a0"/>
    <w:link w:val="a6"/>
    <w:uiPriority w:val="99"/>
    <w:rsid w:val="00A22F03"/>
    <w:rPr>
      <w:rFonts w:ascii="Arial" w:hAnsi="Arial"/>
      <w:sz w:val="18"/>
      <w:lang w:eastAsia="en-US"/>
    </w:rPr>
  </w:style>
  <w:style w:type="paragraph" w:styleId="af4">
    <w:name w:val="Body Text"/>
    <w:link w:val="af5"/>
    <w:rsid w:val="00A22F03"/>
    <w:pPr>
      <w:pBdr>
        <w:top w:val="nil"/>
        <w:left w:val="nil"/>
        <w:bottom w:val="nil"/>
        <w:right w:val="nil"/>
        <w:between w:val="nil"/>
        <w:bar w:val="nil"/>
      </w:pBdr>
      <w:jc w:val="both"/>
    </w:pPr>
    <w:rPr>
      <w:rFonts w:ascii="Helvetica Neue" w:eastAsia="Arial Unicode MS" w:hAnsi="Helvetica Neue" w:cs="Arial Unicode MS"/>
      <w:color w:val="000000"/>
      <w:sz w:val="22"/>
      <w:szCs w:val="22"/>
      <w:bdr w:val="nil"/>
      <w:lang w:val="ru-RU" w:eastAsia="ru-RU"/>
    </w:rPr>
  </w:style>
  <w:style w:type="character" w:customStyle="1" w:styleId="af5">
    <w:name w:val="Основной текст Знак"/>
    <w:basedOn w:val="a0"/>
    <w:link w:val="af4"/>
    <w:rsid w:val="00A22F03"/>
    <w:rPr>
      <w:rFonts w:ascii="Helvetica Neue" w:eastAsia="Arial Unicode MS" w:hAnsi="Helvetica Neue" w:cs="Arial Unicode MS"/>
      <w:color w:val="000000"/>
      <w:sz w:val="22"/>
      <w:szCs w:val="22"/>
      <w:bdr w:val="nil"/>
      <w:lang w:val="ru-RU" w:eastAsia="ru-RU"/>
    </w:rPr>
  </w:style>
  <w:style w:type="character" w:customStyle="1" w:styleId="w">
    <w:name w:val="w"/>
    <w:basedOn w:val="a0"/>
    <w:rsid w:val="00A22F03"/>
  </w:style>
  <w:style w:type="character" w:customStyle="1" w:styleId="ab">
    <w:name w:val="Текст сноски Знак"/>
    <w:basedOn w:val="a0"/>
    <w:link w:val="aa"/>
    <w:uiPriority w:val="99"/>
    <w:rsid w:val="00A22F03"/>
    <w:rPr>
      <w:rFonts w:ascii="Arial" w:hAnsi="Arial"/>
      <w:sz w:val="18"/>
      <w:lang w:eastAsia="en-US"/>
    </w:rPr>
  </w:style>
  <w:style w:type="character" w:styleId="af6">
    <w:name w:val="Hyperlink"/>
    <w:basedOn w:val="a0"/>
    <w:uiPriority w:val="99"/>
    <w:semiHidden/>
    <w:unhideWhenUsed/>
    <w:rsid w:val="00A22F03"/>
    <w:rPr>
      <w:color w:val="0000FF"/>
      <w:u w:val="single"/>
    </w:rPr>
  </w:style>
  <w:style w:type="paragraph" w:styleId="af7">
    <w:name w:val="Revision"/>
    <w:hidden/>
    <w:uiPriority w:val="99"/>
    <w:semiHidden/>
    <w:rsid w:val="00305410"/>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2998">
      <w:bodyDiv w:val="1"/>
      <w:marLeft w:val="0"/>
      <w:marRight w:val="0"/>
      <w:marTop w:val="0"/>
      <w:marBottom w:val="0"/>
      <w:divBdr>
        <w:top w:val="none" w:sz="0" w:space="0" w:color="auto"/>
        <w:left w:val="none" w:sz="0" w:space="0" w:color="auto"/>
        <w:bottom w:val="none" w:sz="0" w:space="0" w:color="auto"/>
        <w:right w:val="none" w:sz="0" w:space="0" w:color="auto"/>
      </w:divBdr>
    </w:div>
    <w:div w:id="1397974236">
      <w:bodyDiv w:val="1"/>
      <w:marLeft w:val="0"/>
      <w:marRight w:val="0"/>
      <w:marTop w:val="0"/>
      <w:marBottom w:val="0"/>
      <w:divBdr>
        <w:top w:val="none" w:sz="0" w:space="0" w:color="auto"/>
        <w:left w:val="none" w:sz="0" w:space="0" w:color="auto"/>
        <w:bottom w:val="none" w:sz="0" w:space="0" w:color="auto"/>
        <w:right w:val="none" w:sz="0" w:space="0" w:color="auto"/>
      </w:divBdr>
    </w:div>
    <w:div w:id="1626542482">
      <w:bodyDiv w:val="1"/>
      <w:marLeft w:val="0"/>
      <w:marRight w:val="0"/>
      <w:marTop w:val="0"/>
      <w:marBottom w:val="0"/>
      <w:divBdr>
        <w:top w:val="none" w:sz="0" w:space="0" w:color="auto"/>
        <w:left w:val="none" w:sz="0" w:space="0" w:color="auto"/>
        <w:bottom w:val="none" w:sz="0" w:space="0" w:color="auto"/>
        <w:right w:val="none" w:sz="0" w:space="0" w:color="auto"/>
      </w:divBdr>
    </w:div>
    <w:div w:id="211485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4" Type="http://schemas.openxmlformats.org/officeDocument/2006/relationships/footer" Target="footer1.xml"/><Relationship Id="rId9"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cortes\AppData\Roaming\Microsoft\Templates\Meeting%20(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5C1A5F5915EFA4EBDBE0090C91A962B" ma:contentTypeVersion="10" ma:contentTypeDescription="Создание документа." ma:contentTypeScope="" ma:versionID="ed9ddfbf53a1b6fd5d3a67eda688305e">
  <xsd:schema xmlns:xsd="http://www.w3.org/2001/XMLSchema" xmlns:xs="http://www.w3.org/2001/XMLSchema" xmlns:p="http://schemas.microsoft.com/office/2006/metadata/properties" xmlns:ns2="ac5ae5aa-cdc0-4dc4-bb19-1ac93c20acb6" targetNamespace="http://schemas.microsoft.com/office/2006/metadata/properties" ma:root="true" ma:fieldsID="605917a54f7dcca866135caf8d0f9b38" ns2:_="">
    <xsd:import namespace="ac5ae5aa-cdc0-4dc4-bb19-1ac93c20acb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ae5aa-cdc0-4dc4-bb19-1ac93c20a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3E546612-0733-4584-A25A-DC0A25535870}"/>
</file>

<file path=customXml/itemProps2.xml><?xml version="1.0" encoding="utf-8"?>
<ds:datastoreItem xmlns:ds="http://schemas.openxmlformats.org/officeDocument/2006/customXml" ds:itemID="{3604ED99-9AEB-48A3-9D1B-3A535E6EFBCF}">
  <ds:schemaRefs>
    <ds:schemaRef ds:uri="http://schemas.microsoft.com/sharepoint/v3/contenttype/forms"/>
  </ds:schemaRefs>
</ds:datastoreItem>
</file>

<file path=customXml/itemProps3.xml><?xml version="1.0" encoding="utf-8"?>
<ds:datastoreItem xmlns:ds="http://schemas.openxmlformats.org/officeDocument/2006/customXml" ds:itemID="{8F89F644-3A9A-4506-8904-8387A31F5232}">
  <ds:schemaRefs>
    <ds:schemaRef ds:uri="http://schemas.microsoft.com/office/2006/metadata/properties"/>
    <ds:schemaRef ds:uri="http://schemas.microsoft.com/office/infopath/2007/PartnerControls"/>
    <ds:schemaRef ds:uri="eaeb6e44-4365-46b5-8242-0e78ea891166"/>
    <ds:schemaRef ds:uri="ff111082-ee85-4580-901d-b2f6bc5dfa2c"/>
    <ds:schemaRef ds:uri="FF111082-EE85-4580-901D-B2F6BC5DFA2C"/>
  </ds:schemaRefs>
</ds:datastoreItem>
</file>

<file path=customXml/itemProps4.xml><?xml version="1.0" encoding="utf-8"?>
<ds:datastoreItem xmlns:ds="http://schemas.openxmlformats.org/officeDocument/2006/customXml" ds:itemID="{90AB5EBE-C08A-4651-BF13-4C66A1115EAE}">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Meeting (E)</Template>
  <TotalTime>191</TotalTime>
  <Pages>4</Pages>
  <Words>1438</Words>
  <Characters>8198</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BPinero</dc:creator>
  <cp:lastModifiedBy>Alexander Pinskiy</cp:lastModifiedBy>
  <cp:revision>16</cp:revision>
  <cp:lastPrinted>2020-02-05T18:14:00Z</cp:lastPrinted>
  <dcterms:created xsi:type="dcterms:W3CDTF">2021-03-09T07:40:00Z</dcterms:created>
  <dcterms:modified xsi:type="dcterms:W3CDTF">2021-03-11T08:05:00Z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0x010100D5C1A5F5915EFA4EBDBE0090C91A962B</vt:lpwstr>
  </property>
</Properties>
</file>