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888888"/>
          <w:sz w:val="20"/>
          <w:szCs w:val="20"/>
        </w:rPr>
        <w:t xml:space="preserve">INFORME EJECUTIVO DE PROYECTO</w:t>
      </w:r>
    </w:p>
    <w:p>
      <w:pPr>
        <w:spacing w:after="80" w:before="80"/>
      </w:pPr>
      <w:r>
        <w:rPr>
          <w:rFonts w:ascii="Arial" w:cs="Arial" w:eastAsia="Arial" w:hAnsi="Arial"/>
          <w:b/>
          <w:bCs/>
          <w:color w:val="1A2E4A"/>
          <w:sz w:val="52"/>
          <w:szCs w:val="52"/>
        </w:rPr>
        <w:t xml:space="preserve">Rossmann Store Sales</w:t>
      </w:r>
    </w:p>
    <w:p>
      <w:pPr>
        <w:spacing w:after="80" w:before="80"/>
      </w:pPr>
      <w:r>
        <w:rPr>
          <w:rFonts w:ascii="Arial" w:cs="Arial" w:eastAsia="Arial" w:hAnsi="Arial"/>
          <w:color w:val="2E5D9E"/>
          <w:sz w:val="32"/>
          <w:szCs w:val="32"/>
        </w:rPr>
        <w:t xml:space="preserve">Predicción de Ventas con Machine Learning</w:t>
      </w:r>
    </w:p>
    <w:p>
      <w:pPr>
        <w:spacing w:after="80" w:before="80"/>
      </w:pPr>
      <w:r>
        <w:t xml:space="preserve"/>
      </w:r>
    </w:p>
    <w:p>
      <w:pPr>
        <w:pBdr>
          <w:bottom w:val="single" w:color="2E5D9E" w:sz="6" w:space="1"/>
        </w:pBdr>
        <w:spacing w:after="40" w:before="80"/>
      </w:pPr>
      <w:r>
        <w:t xml:space="preserve"/>
      </w:r>
    </w:p>
    <w:p>
      <w:pPr>
        <w:spacing w:after="80" w:before="80"/>
      </w:pPr>
      <w:r>
        <w:t xml:space="preserve"/>
      </w:r>
    </w:p>
    <w:p>
      <w:pPr>
        <w:spacing w:after="40" w:before="40"/>
      </w:pPr>
      <w:r>
        <w:rPr>
          <w:rFonts w:ascii="Arial" w:cs="Arial" w:eastAsia="Arial" w:hAnsi="Arial"/>
          <w:color w:val="555555"/>
          <w:sz w:val="20"/>
          <w:szCs w:val="20"/>
        </w:rPr>
        <w:t xml:space="preserve">Stack tecnológico:  Python · Jupyter Notebook · pandas · scikit-learn · matplotlib · seaborn</w:t>
      </w:r>
    </w:p>
    <w:p>
      <w:pPr>
        <w:spacing w:after="40" w:before="40"/>
      </w:pPr>
      <w:r>
        <w:rPr>
          <w:rFonts w:ascii="Arial" w:cs="Arial" w:eastAsia="Arial" w:hAnsi="Arial"/>
          <w:color w:val="555555"/>
          <w:sz w:val="20"/>
          <w:szCs w:val="20"/>
        </w:rPr>
        <w:t xml:space="preserve">Fuente de datos:  Kaggle — Rossmann Store Sales Competition</w:t>
      </w:r>
    </w:p>
    <w:p>
      <w:pPr>
        <w:spacing w:after="40" w:before="40"/>
      </w:pPr>
      <w:r>
        <w:rPr>
          <w:rFonts w:ascii="Arial" w:cs="Arial" w:eastAsia="Arial" w:hAnsi="Arial"/>
          <w:color w:val="555555"/>
          <w:sz w:val="20"/>
          <w:szCs w:val="20"/>
        </w:rPr>
        <w:t xml:space="preserve">Período analizado:  Enero 2013 — Diciembre 2015 (proyectado)</w:t>
      </w:r>
    </w:p>
    <w:p>
      <w:pPr>
        <w:spacing w:after="40" w:before="40"/>
      </w:pPr>
      <w:r>
        <w:rPr>
          <w:rFonts w:ascii="Arial" w:cs="Arial" w:eastAsia="Arial" w:hAnsi="Arial"/>
          <w:color w:val="555555"/>
          <w:sz w:val="20"/>
          <w:szCs w:val="20"/>
        </w:rPr>
        <w:t xml:space="preserve">Nivel del proyecto:  Entry-level Data Analyst Portfolio</w:t>
      </w:r>
    </w:p>
    <w:p>
      <w:r>
        <w:br w:type="page"/>
      </w:r>
    </w:p>
    <w:p>
      <w:pPr>
        <w:spacing w:after="160" w:before="320"/>
      </w:pPr>
      <w:r>
        <w:rPr>
          <w:rFonts w:ascii="Arial" w:cs="Arial" w:eastAsia="Arial" w:hAnsi="Arial"/>
          <w:b/>
          <w:bCs/>
          <w:color w:val="1A2E4A"/>
          <w:sz w:val="32"/>
          <w:szCs w:val="32"/>
        </w:rPr>
        <w:t xml:space="preserve">1. Contexto del Problema de Negocio</w:t>
      </w:r>
    </w:p>
    <w:p>
      <w:pPr>
        <w:pBdr>
          <w:bottom w:val="single" w:color="2E5D9E" w:sz="4" w:space="1"/>
        </w:pBdr>
        <w:spacing w:after="160" w:before="160"/>
      </w:pPr>
      <w:r>
        <w:t xml:space="preserve"/>
      </w:r>
    </w:p>
    <w:p>
      <w:pPr>
        <w:spacing w:after="80" w:before="60"/>
      </w:pPr>
      <w:r>
        <w:rPr>
          <w:rFonts w:ascii="Arial" w:cs="Arial" w:eastAsia="Arial" w:hAnsi="Arial"/>
          <w:color w:val="333333"/>
          <w:sz w:val="22"/>
          <w:szCs w:val="22"/>
        </w:rPr>
        <w:t xml:space="preserve">Rossmann es una cadena de farmacias alemana con más de 1,115 tiendas en Europa. El desafío de negocio es predecir con precisión las ventas diarias de cada tienda para optimizar tres decisiones críticas:</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Planificación de inventario: cuánto producto pedir y cuándo.</w:t>
      </w:r>
    </w:p>
    <w:p>
      <w:pPr>
        <w:pStyle w:val="ListParagraph"/>
        <w:numPr>
          <w:ilvl w:val="0"/>
          <w:numId w:val="2"/>
        </w:numPr>
        <w:spacing w:after="40" w:before="40"/>
      </w:pPr>
      <w:r>
        <w:rPr>
          <w:rFonts w:ascii="Arial" w:cs="Arial" w:eastAsia="Arial" w:hAnsi="Arial"/>
          <w:color w:val="333333"/>
          <w:sz w:val="22"/>
          <w:szCs w:val="22"/>
        </w:rPr>
        <w:t xml:space="preserve">Asignación de presupuesto de marketing: en qué tiendas y cuándo activar promociones.</w:t>
      </w:r>
    </w:p>
    <w:p>
      <w:pPr>
        <w:pStyle w:val="ListParagraph"/>
        <w:numPr>
          <w:ilvl w:val="0"/>
          <w:numId w:val="2"/>
        </w:numPr>
        <w:spacing w:after="40" w:before="40"/>
      </w:pPr>
      <w:r>
        <w:rPr>
          <w:rFonts w:ascii="Arial" w:cs="Arial" w:eastAsia="Arial" w:hAnsi="Arial"/>
          <w:color w:val="333333"/>
          <w:sz w:val="22"/>
          <w:szCs w:val="22"/>
        </w:rPr>
        <w:t xml:space="preserve">Gestión de personal: cuándo reforzar equipos en tiendas de alto tráfico.</w:t>
      </w:r>
    </w:p>
    <w:p>
      <w:pPr>
        <w:spacing w:after="80" w:before="80"/>
      </w:pPr>
      <w:r>
        <w:t xml:space="preserve"/>
      </w:r>
    </w:p>
    <w:p>
      <w:pPr>
        <w:spacing w:after="80" w:before="60"/>
      </w:pPr>
      <w:r>
        <w:rPr>
          <w:rFonts w:ascii="Arial" w:cs="Arial" w:eastAsia="Arial" w:hAnsi="Arial"/>
          <w:color w:val="333333"/>
          <w:sz w:val="22"/>
          <w:szCs w:val="22"/>
        </w:rPr>
        <w:t xml:space="preserve">Sin un modelo predictivo, estas decisiones dependen de la intuición del gerente. Con el modelo, se toman con evidencia cuantitativa y con semanas de anticipación.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9E" w:sz="6"/>
              <w:left w:val="single" w:color="2E5D9E" w:sz="18"/>
              <w:bottom w:val="single" w:color="CCCCCC" w:sz="1"/>
              <w:right w:val="single" w:color="CCCCCC" w:sz="1"/>
            </w:tcBorders>
            <w:shd w:fill="EBF2FB" w:val="clear"/>
            <w:tcMar>
              <w:top w:type="dxa" w:w="120"/>
              <w:left w:type="dxa" w:w="200"/>
              <w:bottom w:type="dxa" w:w="120"/>
              <w:right w:type="dxa" w:w="120"/>
            </w:tcMar>
          </w:tcPr>
          <w:p>
            <w:r>
              <w:rPr>
                <w:rFonts w:ascii="Arial" w:cs="Arial" w:eastAsia="Arial" w:hAnsi="Arial"/>
                <w:i/>
                <w:iCs/>
                <w:color w:val="1A2E4A"/>
                <w:sz w:val="22"/>
                <w:szCs w:val="22"/>
              </w:rPr>
              <w:t xml:space="preserve">Pregunta central: ¿Qué variables determinan las ventas diarias de una tienda Rossmann y con qué precisión se pueden predecir?</w:t>
            </w:r>
          </w:p>
        </w:tc>
      </w:tr>
    </w:tbl>
    <w:p>
      <w:pPr>
        <w:spacing w:after="80" w:before="80"/>
      </w:pPr>
      <w:r>
        <w:t xml:space="preserve"/>
      </w:r>
    </w:p>
    <w:p>
      <w:pPr>
        <w:spacing w:after="160" w:before="320"/>
      </w:pPr>
      <w:r>
        <w:rPr>
          <w:rFonts w:ascii="Arial" w:cs="Arial" w:eastAsia="Arial" w:hAnsi="Arial"/>
          <w:b/>
          <w:bCs/>
          <w:color w:val="1A2E4A"/>
          <w:sz w:val="32"/>
          <w:szCs w:val="32"/>
        </w:rPr>
        <w:t xml:space="preserve">2. Descripción de los Datos</w:t>
      </w:r>
    </w:p>
    <w:p>
      <w:pPr>
        <w:pBdr>
          <w:bottom w:val="single" w:color="2E5D9E" w:sz="4" w:space="1"/>
        </w:pBdr>
        <w:spacing w:after="160" w:before="160"/>
      </w:pPr>
      <w:r>
        <w:t xml:space="preserve"/>
      </w:r>
    </w:p>
    <w:p>
      <w:pPr>
        <w:spacing w:after="80" w:before="60"/>
      </w:pPr>
      <w:r>
        <w:rPr>
          <w:rFonts w:ascii="Arial" w:cs="Arial" w:eastAsia="Arial" w:hAnsi="Arial"/>
          <w:color w:val="333333"/>
          <w:sz w:val="22"/>
          <w:szCs w:val="22"/>
        </w:rPr>
        <w:t xml:space="preserve">Los datos fueron descargados directamente desde la API de Kaggle. El dataset comprende tres archivos: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15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Registros</w:t>
            </w:r>
          </w:p>
        </w:tc>
        <w:tc>
          <w:tcPr>
            <w:tcW w:type="dxa" w:w="58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train.csv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1,017,209</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Ventas históricas por tienda y día (2013–2015)</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store.csv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1,115</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Características estructurales de cada tienda</w:t>
            </w:r>
          </w:p>
        </w:tc>
      </w:tr>
      <w:tr>
        <w:trPr>
          <w:tblHeader w:val="false"/>
        </w:trP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test.csv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41,088</w:t>
            </w:r>
          </w:p>
        </w:tc>
        <w:tc>
          <w:tcPr>
            <w:tcW w:type="dxa" w:w="5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Período futuro para generar predicciones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50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Significado de negocio</w:t>
            </w:r>
          </w:p>
        </w:tc>
      </w:tr>
      <w:tr>
        <w:trPr>
          <w:tblHeader w:val="false"/>
        </w:trP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Numérico</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Variable objetivo: ventas diarias en euros</w:t>
            </w:r>
          </w:p>
        </w:tc>
      </w:tr>
      <w:tr>
        <w:trPr>
          <w:tblHeader w:val="false"/>
        </w:trP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Entero</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Identificador único de cada tienda (llave primaria)</w:t>
            </w:r>
          </w:p>
        </w:tc>
      </w:tr>
      <w:tr>
        <w:trPr>
          <w:tblHeader w:val="false"/>
        </w:trP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Binario</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 si había promoción activa ese día</w:t>
            </w:r>
          </w:p>
        </w:tc>
      </w:tr>
      <w:tr>
        <w:trPr>
          <w:tblHeader w:val="false"/>
        </w:trP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CompetitionDistance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Numérico</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Metros hasta el competidor más cercano</w:t>
            </w:r>
          </w:p>
        </w:tc>
      </w:tr>
      <w:tr>
        <w:trPr>
          <w:tblHeader w:val="false"/>
        </w:trP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Categórico</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Formato de la tienda: a, b, c o d</w:t>
            </w:r>
          </w:p>
        </w:tc>
      </w:tr>
      <w:tr>
        <w:trPr>
          <w:tblHeader w:val="false"/>
        </w:trP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StateHoliday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Categórico</w:t>
            </w:r>
          </w:p>
        </w:tc>
        <w:tc>
          <w:tcPr>
            <w:tcW w:type="dxa" w:w="5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Tipo de día festivo estatal</w:t>
            </w:r>
          </w:p>
        </w:tc>
      </w:tr>
    </w:tbl>
    <w:p>
      <w:pPr>
        <w:spacing w:after="80" w:before="80"/>
      </w:pPr>
      <w:r>
        <w:t xml:space="preserve"/>
      </w:r>
    </w:p>
    <w:p>
      <w:pPr>
        <w:spacing w:after="160" w:before="320"/>
      </w:pPr>
      <w:r>
        <w:rPr>
          <w:rFonts w:ascii="Arial" w:cs="Arial" w:eastAsia="Arial" w:hAnsi="Arial"/>
          <w:b/>
          <w:bCs/>
          <w:color w:val="1A2E4A"/>
          <w:sz w:val="32"/>
          <w:szCs w:val="32"/>
        </w:rPr>
        <w:t xml:space="preserve">3. Limpieza de Datos (01_cleaning.ipynb)</w:t>
      </w:r>
    </w:p>
    <w:p>
      <w:pPr>
        <w:pBdr>
          <w:bottom w:val="single" w:color="2E5D9E" w:sz="4" w:space="1"/>
        </w:pBdr>
        <w:spacing w:after="160" w:before="160"/>
      </w:pPr>
      <w:r>
        <w:t xml:space="preserve"/>
      </w:r>
    </w:p>
    <w:p>
      <w:pPr>
        <w:spacing w:after="120" w:before="260"/>
      </w:pPr>
      <w:r>
        <w:rPr>
          <w:rFonts w:ascii="Arial" w:cs="Arial" w:eastAsia="Arial" w:hAnsi="Arial"/>
          <w:b/>
          <w:bCs/>
          <w:color w:val="2E5D9E"/>
          <w:sz w:val="26"/>
          <w:szCs w:val="26"/>
        </w:rPr>
        <w:t xml:space="preserve">3.1 Unión de tablas — LEFT JOIN</w:t>
      </w:r>
    </w:p>
    <w:p>
      <w:pPr>
        <w:spacing w:after="80" w:before="60"/>
      </w:pPr>
      <w:r>
        <w:rPr>
          <w:rFonts w:ascii="Arial" w:cs="Arial" w:eastAsia="Arial" w:hAnsi="Arial"/>
          <w:color w:val="333333"/>
          <w:sz w:val="22"/>
          <w:szCs w:val="22"/>
        </w:rPr>
        <w:t xml:space="preserve">Se combinó train.csv con store.csv usando la columna Store como llave primaria. El resultado fue un dataset de 1,017,209 filas × 18 columnas donde cada registro de venta incluye las características completas de su tienda.</w:t>
      </w:r>
    </w:p>
    <w:p>
      <w:pPr>
        <w:spacing w:after="80" w:before="80"/>
      </w:pPr>
      <w:r>
        <w:t xml:space="preserve"/>
      </w:r>
    </w:p>
    <w:p>
      <w:pPr>
        <w:spacing w:after="120" w:before="260"/>
      </w:pPr>
      <w:r>
        <w:rPr>
          <w:rFonts w:ascii="Arial" w:cs="Arial" w:eastAsia="Arial" w:hAnsi="Arial"/>
          <w:b/>
          <w:bCs/>
          <w:color w:val="2E5D9E"/>
          <w:sz w:val="26"/>
          <w:szCs w:val="26"/>
        </w:rPr>
        <w:t xml:space="preserve">3.2 Tratamiento de valores nulos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Columna</w:t>
            </w:r>
          </w:p>
        </w:tc>
        <w:tc>
          <w:tcPr>
            <w:tcW w:type="dxa" w:w="1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Nulos</w:t>
            </w:r>
          </w:p>
        </w:tc>
        <w:tc>
          <w:tcPr>
            <w:tcW w:type="dxa" w:w="4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Tratamiento aplicado</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CompetitionDistance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2,642</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Imputar con distancia máxima (75,860m) — sin competidor = muy lejos</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CompetitionOpenSince...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323,348</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Rellenar con 0 — sin competidor registrado</w:t>
            </w:r>
          </w:p>
        </w:tc>
      </w:tr>
      <w:tr>
        <w:trPr>
          <w:tblHeader w:val="false"/>
        </w:trP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Promo2Since... / PromoInterval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508,031</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Rellenar con 0 / 'None' — no participan en Promo2</w:t>
            </w:r>
          </w:p>
        </w:tc>
      </w:tr>
    </w:tbl>
    <w:p>
      <w:pPr>
        <w:spacing w:after="80" w:before="80"/>
      </w:pPr>
      <w:r>
        <w:t xml:space="preserve"/>
      </w:r>
    </w:p>
    <w:p>
      <w:pPr>
        <w:spacing w:after="120" w:before="260"/>
      </w:pPr>
      <w:r>
        <w:rPr>
          <w:rFonts w:ascii="Arial" w:cs="Arial" w:eastAsia="Arial" w:hAnsi="Arial"/>
          <w:b/>
          <w:bCs/>
          <w:color w:val="2E5D9E"/>
          <w:sz w:val="26"/>
          <w:szCs w:val="26"/>
        </w:rPr>
        <w:t xml:space="preserve">3.3 Eliminación de días cerrados</w:t>
      </w:r>
    </w:p>
    <w:p>
      <w:pPr>
        <w:spacing w:after="80" w:before="60"/>
      </w:pPr>
      <w:r>
        <w:rPr>
          <w:rFonts w:ascii="Arial" w:cs="Arial" w:eastAsia="Arial" w:hAnsi="Arial"/>
          <w:color w:val="333333"/>
          <w:sz w:val="22"/>
          <w:szCs w:val="22"/>
        </w:rPr>
        <w:t xml:space="preserve">Se eliminaron 172,817 filas con Open=0. Incluirlas distorsionaría el modelo al mezclar días sin actividad comercial con días normales de operación.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9E" w:sz="6"/>
              <w:left w:val="single" w:color="2E5D9E" w:sz="18"/>
              <w:bottom w:val="single" w:color="CCCCCC" w:sz="1"/>
              <w:right w:val="single" w:color="CCCCCC" w:sz="1"/>
            </w:tcBorders>
            <w:shd w:fill="EBF2FB" w:val="clear"/>
            <w:tcMar>
              <w:top w:type="dxa" w:w="120"/>
              <w:left w:type="dxa" w:w="200"/>
              <w:bottom w:type="dxa" w:w="120"/>
              <w:right w:type="dxa" w:w="120"/>
            </w:tcMar>
          </w:tcPr>
          <w:p>
            <w:r>
              <w:rPr>
                <w:rFonts w:ascii="Arial" w:cs="Arial" w:eastAsia="Arial" w:hAnsi="Arial"/>
                <w:i/>
                <w:iCs/>
                <w:color w:val="1A2E4A"/>
                <w:sz w:val="22"/>
                <w:szCs w:val="22"/>
              </w:rPr>
              <w:t xml:space="preserve">Dataset final: 844,392 filas · 0 valores nulos · Guardado en data/processed/train_clean.csv</w:t>
            </w:r>
          </w:p>
        </w:tc>
      </w:tr>
    </w:tbl>
    <w:p>
      <w:pPr>
        <w:spacing w:after="80" w:before="80"/>
      </w:pPr>
      <w:r>
        <w:t xml:space="preserve"/>
      </w:r>
    </w:p>
    <w:p>
      <w:pPr>
        <w:spacing w:after="160" w:before="320"/>
      </w:pPr>
      <w:r>
        <w:rPr>
          <w:rFonts w:ascii="Arial" w:cs="Arial" w:eastAsia="Arial" w:hAnsi="Arial"/>
          <w:b/>
          <w:bCs/>
          <w:color w:val="1A2E4A"/>
          <w:sz w:val="32"/>
          <w:szCs w:val="32"/>
        </w:rPr>
        <w:t xml:space="preserve">4. Análisis Exploratorio (02_eda.ipynb)</w:t>
      </w:r>
    </w:p>
    <w:p>
      <w:pPr>
        <w:pBdr>
          <w:bottom w:val="single" w:color="2E5D9E" w:sz="4" w:space="1"/>
        </w:pBdr>
        <w:spacing w:after="160" w:before="160"/>
      </w:pPr>
      <w:r>
        <w:t xml:space="preserve"/>
      </w:r>
    </w:p>
    <w:p>
      <w:pPr>
        <w:spacing w:after="120" w:before="260"/>
      </w:pPr>
      <w:r>
        <w:rPr>
          <w:rFonts w:ascii="Arial" w:cs="Arial" w:eastAsia="Arial" w:hAnsi="Arial"/>
          <w:b/>
          <w:bCs/>
          <w:color w:val="2E5D9E"/>
          <w:sz w:val="26"/>
          <w:szCs w:val="26"/>
        </w:rPr>
        <w:t xml:space="preserve">Hallazgo 1 — Días de la semana</w:t>
      </w:r>
    </w:p>
    <w:p>
      <w:pPr>
        <w:spacing w:after="80" w:before="60"/>
      </w:pPr>
      <w:r>
        <w:rPr>
          <w:rFonts w:ascii="Arial" w:cs="Arial" w:eastAsia="Arial" w:hAnsi="Arial"/>
          <w:color w:val="333333"/>
          <w:sz w:val="22"/>
          <w:szCs w:val="22"/>
        </w:rPr>
        <w:t xml:space="preserve">Domingos y lunes superan €8,000 en ventas promedio. Las tiendas abiertas en domingo capturan demanda concentrada porque la mayoría de competidores permanece cerrada.</w:t>
      </w:r>
    </w:p>
    <w:p>
      <w:pPr>
        <w:spacing w:after="80" w:before="80"/>
      </w:pPr>
      <w:r>
        <w:t xml:space="preserve"/>
      </w:r>
    </w:p>
    <w:p>
      <w:pPr>
        <w:spacing w:after="120" w:before="260"/>
      </w:pPr>
      <w:r>
        <w:rPr>
          <w:rFonts w:ascii="Arial" w:cs="Arial" w:eastAsia="Arial" w:hAnsi="Arial"/>
          <w:b/>
          <w:bCs/>
          <w:color w:val="2E5D9E"/>
          <w:sz w:val="26"/>
          <w:szCs w:val="26"/>
        </w:rPr>
        <w:t xml:space="preserve">Hallazgo 2 — Impacto de promociones</w:t>
      </w:r>
    </w:p>
    <w:p>
      <w:pPr>
        <w:spacing w:after="80" w:before="60"/>
      </w:pPr>
      <w:r>
        <w:rPr>
          <w:rFonts w:ascii="Arial" w:cs="Arial" w:eastAsia="Arial" w:hAnsi="Arial"/>
          <w:color w:val="333333"/>
          <w:sz w:val="22"/>
          <w:szCs w:val="22"/>
        </w:rPr>
        <w:t xml:space="preserve">Las promociones generan +38.8% en ventas y +21.2% en clientes. La diferencia entre ambos porcentajes indica que cada cliente gasta más durante días promocionales, no solo que entran más personas.</w:t>
      </w:r>
    </w:p>
    <w:p>
      <w:pPr>
        <w:spacing w:after="80" w:before="80"/>
      </w:pPr>
      <w:r>
        <w:t xml:space="preserve"/>
      </w:r>
    </w:p>
    <w:p>
      <w:pPr>
        <w:spacing w:after="120" w:before="260"/>
      </w:pPr>
      <w:r>
        <w:rPr>
          <w:rFonts w:ascii="Arial" w:cs="Arial" w:eastAsia="Arial" w:hAnsi="Arial"/>
          <w:b/>
          <w:bCs/>
          <w:color w:val="2E5D9E"/>
          <w:sz w:val="26"/>
          <w:szCs w:val="26"/>
        </w:rPr>
        <w:t xml:space="preserve">Hallazgo 3 — Competencia como señal de ubicación</w:t>
      </w:r>
    </w:p>
    <w:p>
      <w:pPr>
        <w:spacing w:after="80" w:before="60"/>
      </w:pPr>
      <w:r>
        <w:rPr>
          <w:rFonts w:ascii="Arial" w:cs="Arial" w:eastAsia="Arial" w:hAnsi="Arial"/>
          <w:color w:val="333333"/>
          <w:sz w:val="22"/>
          <w:szCs w:val="22"/>
        </w:rPr>
        <w:t xml:space="preserve">Tiendas con competidor a menos de 1km generan €403 más por día que tiendas aisladas. La competencia señala zonas de alto tráfico peatonal donde todos los comercios se benefician.</w:t>
      </w:r>
    </w:p>
    <w:p>
      <w:pPr>
        <w:spacing w:after="80" w:before="80"/>
      </w:pPr>
      <w:r>
        <w:t xml:space="preserve"/>
      </w:r>
    </w:p>
    <w:p>
      <w:pPr>
        <w:spacing w:after="120" w:before="260"/>
      </w:pPr>
      <w:r>
        <w:rPr>
          <w:rFonts w:ascii="Arial" w:cs="Arial" w:eastAsia="Arial" w:hAnsi="Arial"/>
          <w:b/>
          <w:bCs/>
          <w:color w:val="2E5D9E"/>
          <w:sz w:val="26"/>
          <w:szCs w:val="26"/>
        </w:rPr>
        <w:t xml:space="preserve">Hallazgo 4 — Estacionalidad</w:t>
      </w:r>
    </w:p>
    <w:p>
      <w:pPr>
        <w:spacing w:after="80" w:before="60"/>
      </w:pPr>
      <w:r>
        <w:rPr>
          <w:rFonts w:ascii="Arial" w:cs="Arial" w:eastAsia="Arial" w:hAnsi="Arial"/>
          <w:color w:val="333333"/>
          <w:sz w:val="22"/>
          <w:szCs w:val="22"/>
        </w:rPr>
        <w:t xml:space="preserve">Diciembre registra €8,609 de venta promedio diaria, un +31% sobre septiembre (€6,546). El volumen anual depende críticamente de la temporada navideña.</w:t>
      </w:r>
    </w:p>
    <w:p>
      <w:pPr>
        <w:spacing w:after="80" w:before="80"/>
      </w:pPr>
      <w:r>
        <w:t xml:space="preserve"/>
      </w:r>
    </w:p>
    <w:p>
      <w:pPr>
        <w:spacing w:after="120" w:before="260"/>
      </w:pPr>
      <w:r>
        <w:rPr>
          <w:rFonts w:ascii="Arial" w:cs="Arial" w:eastAsia="Arial" w:hAnsi="Arial"/>
          <w:b/>
          <w:bCs/>
          <w:color w:val="2E5D9E"/>
          <w:sz w:val="26"/>
          <w:szCs w:val="26"/>
        </w:rPr>
        <w:t xml:space="preserve">Hallazgo 5 — Brecha de rendimiento</w:t>
      </w:r>
    </w:p>
    <w:p>
      <w:pPr>
        <w:spacing w:after="80" w:before="60"/>
      </w:pPr>
      <w:r>
        <w:rPr>
          <w:rFonts w:ascii="Arial" w:cs="Arial" w:eastAsia="Arial" w:hAnsi="Arial"/>
          <w:color w:val="333333"/>
          <w:sz w:val="22"/>
          <w:szCs w:val="22"/>
        </w:rPr>
        <w:t xml:space="preserve">La tienda #817 vende €21,757/día. La tienda #307 vende €2,704/día. Una brecha de 8x que evidencia modelos de negocio radicalmente distintos dentro de la misma cadena.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Métrica clave</w:t>
            </w:r>
          </w:p>
        </w:tc>
        <w:tc>
          <w:tcPr>
            <w:tcW w:type="dxa" w:w="468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rPr>
          <w:tblHeader w:val="false"/>
        </w:trP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Venta promedio diaria (cadena)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€6,956</w:t>
            </w:r>
          </w:p>
        </w:tc>
      </w:tr>
      <w:tr>
        <w:trPr>
          <w:tblHeader w:val="false"/>
        </w:trP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Tienda de mayor rendimiento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#817 · €21,757/día</w:t>
            </w:r>
          </w:p>
        </w:tc>
      </w:tr>
      <w:tr>
        <w:trPr>
          <w:tblHeader w:val="false"/>
        </w:trP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Tienda de menor rendimiento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#307 · €2,704/día</w:t>
            </w:r>
          </w:p>
        </w:tc>
      </w:tr>
      <w:tr>
        <w:trPr>
          <w:tblHeader w:val="false"/>
        </w:trP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Brecha máxima de rendimiento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8x entre mejor y peor tienda</w:t>
            </w:r>
          </w:p>
        </w:tc>
      </w:tr>
      <w:tr>
        <w:trPr>
          <w:tblHeader w:val="false"/>
        </w:trP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Incremento con promoción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+38.8% ventas / +21.2% clientes</w:t>
            </w:r>
          </w:p>
        </w:tc>
      </w:tr>
      <w:tr>
        <w:trPr>
          <w:tblHeader w:val="false"/>
        </w:trP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Mes pico vs mes valle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Dic €8,609 vs Sep €6,546 (+31%)</w:t>
            </w:r>
          </w:p>
        </w:tc>
      </w:tr>
      <w:tr>
        <w:trPr>
          <w:tblHeader w:val="false"/>
        </w:trP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Ventaja zona competitiva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+€403/día vs tiendas aisladas</w:t>
            </w:r>
          </w:p>
        </w:tc>
      </w:tr>
    </w:tbl>
    <w:p>
      <w:pPr>
        <w:spacing w:after="80" w:before="80"/>
      </w:pPr>
      <w:r>
        <w:t xml:space="preserve"/>
      </w:r>
    </w:p>
    <w:p>
      <w:r>
        <w:br w:type="page"/>
      </w:r>
    </w:p>
    <w:p>
      <w:pPr>
        <w:spacing w:after="160" w:before="320"/>
      </w:pPr>
      <w:r>
        <w:rPr>
          <w:rFonts w:ascii="Arial" w:cs="Arial" w:eastAsia="Arial" w:hAnsi="Arial"/>
          <w:b/>
          <w:bCs/>
          <w:color w:val="1A2E4A"/>
          <w:sz w:val="32"/>
          <w:szCs w:val="32"/>
        </w:rPr>
        <w:t xml:space="preserve">5. Modelo Predictivo — Random Forest (03_model.ipynb)</w:t>
      </w:r>
    </w:p>
    <w:p>
      <w:pPr>
        <w:pBdr>
          <w:bottom w:val="single" w:color="2E5D9E" w:sz="4" w:space="1"/>
        </w:pBdr>
        <w:spacing w:after="160" w:before="160"/>
      </w:pPr>
      <w:r>
        <w:t xml:space="preserve"/>
      </w:r>
    </w:p>
    <w:p>
      <w:pPr>
        <w:spacing w:after="120" w:before="260"/>
      </w:pPr>
      <w:r>
        <w:rPr>
          <w:rFonts w:ascii="Arial" w:cs="Arial" w:eastAsia="Arial" w:hAnsi="Arial"/>
          <w:b/>
          <w:bCs/>
          <w:color w:val="2E5D9E"/>
          <w:sz w:val="26"/>
          <w:szCs w:val="26"/>
        </w:rPr>
        <w:t xml:space="preserve">5.1 Feature Engineering</w:t>
      </w:r>
    </w:p>
    <w:p>
      <w:pPr>
        <w:spacing w:after="80" w:before="60"/>
      </w:pPr>
      <w:r>
        <w:rPr>
          <w:rFonts w:ascii="Arial" w:cs="Arial" w:eastAsia="Arial" w:hAnsi="Arial"/>
          <w:color w:val="333333"/>
          <w:sz w:val="22"/>
          <w:szCs w:val="22"/>
        </w:rPr>
        <w:t xml:space="preserve">Se crearon 11 variables nuevas que traducen fechas, distancias y categorías a formatos que el algoritmo puede procesar:</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Variables de tiempo: Year, Month, Day, WeekOfYear</w:t>
      </w:r>
    </w:p>
    <w:p>
      <w:pPr>
        <w:pStyle w:val="ListParagraph"/>
        <w:numPr>
          <w:ilvl w:val="0"/>
          <w:numId w:val="2"/>
        </w:numPr>
        <w:spacing w:after="40" w:before="40"/>
      </w:pPr>
      <w:r>
        <w:rPr>
          <w:rFonts w:ascii="Arial" w:cs="Arial" w:eastAsia="Arial" w:hAnsi="Arial"/>
          <w:color w:val="333333"/>
          <w:sz w:val="22"/>
          <w:szCs w:val="22"/>
        </w:rPr>
        <w:t xml:space="preserve">Variables de temporada: IsWeekend, IsDecember, IsNovember, Q4</w:t>
      </w:r>
    </w:p>
    <w:p>
      <w:pPr>
        <w:pStyle w:val="ListParagraph"/>
        <w:numPr>
          <w:ilvl w:val="0"/>
          <w:numId w:val="2"/>
        </w:numPr>
        <w:spacing w:after="40" w:before="40"/>
      </w:pPr>
      <w:r>
        <w:rPr>
          <w:rFonts w:ascii="Arial" w:cs="Arial" w:eastAsia="Arial" w:hAnsi="Arial"/>
          <w:color w:val="333333"/>
          <w:sz w:val="22"/>
          <w:szCs w:val="22"/>
        </w:rPr>
        <w:t xml:space="preserve">Variables de competencia: HasCompetitor (&lt;1km), CompetitionDistance_Log</w:t>
      </w:r>
    </w:p>
    <w:p>
      <w:pPr>
        <w:pStyle w:val="ListParagraph"/>
        <w:numPr>
          <w:ilvl w:val="0"/>
          <w:numId w:val="2"/>
        </w:numPr>
        <w:spacing w:after="40" w:before="40"/>
      </w:pPr>
      <w:r>
        <w:rPr>
          <w:rFonts w:ascii="Arial" w:cs="Arial" w:eastAsia="Arial" w:hAnsi="Arial"/>
          <w:color w:val="333333"/>
          <w:sz w:val="22"/>
          <w:szCs w:val="22"/>
        </w:rPr>
        <w:t xml:space="preserve">Variable de interacción: Promo_Weekend (promo en fin de semana)</w:t>
      </w:r>
    </w:p>
    <w:p>
      <w:pPr>
        <w:spacing w:after="80" w:before="80"/>
      </w:pPr>
      <w:r>
        <w:t xml:space="preserve"/>
      </w:r>
    </w:p>
    <w:p>
      <w:pPr>
        <w:spacing w:after="120" w:before="260"/>
      </w:pPr>
      <w:r>
        <w:rPr>
          <w:rFonts w:ascii="Arial" w:cs="Arial" w:eastAsia="Arial" w:hAnsi="Arial"/>
          <w:b/>
          <w:bCs/>
          <w:color w:val="2E5D9E"/>
          <w:sz w:val="26"/>
          <w:szCs w:val="26"/>
        </w:rPr>
        <w:t xml:space="preserve">5.2 División Train/Test</w:t>
      </w:r>
    </w:p>
    <w:p>
      <w:pPr>
        <w:spacing w:after="80" w:before="60"/>
      </w:pPr>
      <w:r>
        <w:rPr>
          <w:rFonts w:ascii="Arial" w:cs="Arial" w:eastAsia="Arial" w:hAnsi="Arial"/>
          <w:color w:val="333333"/>
          <w:sz w:val="22"/>
          <w:szCs w:val="22"/>
        </w:rPr>
        <w:t xml:space="preserve">80% de los datos (675,513 registros) para entrenamiento y 20% (168,879 registros) para evaluación. El modelo nunca vio el 20% de evaluación durante el entrenamiento.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9E" w:sz="6"/>
              <w:left w:val="single" w:color="2E5D9E" w:sz="18"/>
              <w:bottom w:val="single" w:color="CCCCCC" w:sz="1"/>
              <w:right w:val="single" w:color="CCCCCC" w:sz="1"/>
            </w:tcBorders>
            <w:shd w:fill="EBF2FB" w:val="clear"/>
            <w:tcMar>
              <w:top w:type="dxa" w:w="120"/>
              <w:left w:type="dxa" w:w="200"/>
              <w:bottom w:type="dxa" w:w="120"/>
              <w:right w:type="dxa" w:w="120"/>
            </w:tcMar>
          </w:tcPr>
          <w:p>
            <w:r>
              <w:rPr>
                <w:rFonts w:ascii="Arial" w:cs="Arial" w:eastAsia="Arial" w:hAnsi="Arial"/>
                <w:i/>
                <w:iCs/>
                <w:color w:val="1A2E4A"/>
                <w:sz w:val="22"/>
                <w:szCs w:val="22"/>
              </w:rPr>
              <w:t xml:space="preserve">Analogía: es como estudiar con el 80% de los ejercicios y ser evaluado con el 20% restante que nunca viste. Si apruebas, realmente aprendiste.</w:t>
            </w:r>
          </w:p>
        </w:tc>
      </w:tr>
    </w:tbl>
    <w:p>
      <w:pPr>
        <w:spacing w:after="80" w:before="80"/>
      </w:pPr>
      <w:r>
        <w:t xml:space="preserve"/>
      </w:r>
    </w:p>
    <w:p>
      <w:pPr>
        <w:spacing w:after="120" w:before="260"/>
      </w:pPr>
      <w:r>
        <w:rPr>
          <w:rFonts w:ascii="Arial" w:cs="Arial" w:eastAsia="Arial" w:hAnsi="Arial"/>
          <w:b/>
          <w:bCs/>
          <w:color w:val="2E5D9E"/>
          <w:sz w:val="26"/>
          <w:szCs w:val="26"/>
        </w:rPr>
        <w:t xml:space="preserve">5.3 Resultados del modelo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Valor</w:t>
            </w:r>
          </w:p>
        </w:tc>
        <w:tc>
          <w:tcPr>
            <w:tcW w:type="dxa" w:w="5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Interpretación</w:t>
            </w:r>
          </w:p>
        </w:tc>
      </w:tr>
      <w:tr>
        <w:trPr>
          <w:tblHeader w:val="false"/>
        </w:trP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0.71</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El modelo explica el 71% de la variación en ventas</w:t>
            </w:r>
          </w:p>
        </w:tc>
      </w:tr>
      <w:tr>
        <w:trPr>
          <w:tblHeader w:val="false"/>
        </w:trP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€1,183</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Error promedio por tienda por día</w:t>
            </w:r>
          </w:p>
        </w:tc>
      </w:tr>
      <w:tr>
        <w:trPr>
          <w:tblHeader w:val="false"/>
        </w:trP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RMSE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€1,666</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Penaliza más los errores grandes</w:t>
            </w:r>
          </w:p>
        </w:tc>
      </w:tr>
      <w:tr>
        <w:trPr>
          <w:tblHeader w:val="false"/>
        </w:trP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19.2%</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Error porcentual promedio</w:t>
            </w:r>
          </w:p>
        </w:tc>
      </w:tr>
      <w:tr>
        <w:trPr>
          <w:tblHeader w:val="false"/>
        </w:trP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Error promedio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€29</w:t>
            </w:r>
          </w:p>
        </w:tc>
        <w:tc>
          <w:tcPr>
            <w:tcW w:type="dxa" w:w="5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Sin sesgo sistemático: no sobreestima ni subestima</w:t>
            </w:r>
          </w:p>
        </w:tc>
      </w:tr>
    </w:tbl>
    <w:p>
      <w:pPr>
        <w:spacing w:after="80" w:before="80"/>
      </w:pPr>
      <w:r>
        <w:t xml:space="preserve"/>
      </w:r>
    </w:p>
    <w:p>
      <w:pPr>
        <w:spacing w:after="120" w:before="260"/>
      </w:pPr>
      <w:r>
        <w:rPr>
          <w:rFonts w:ascii="Arial" w:cs="Arial" w:eastAsia="Arial" w:hAnsi="Arial"/>
          <w:b/>
          <w:bCs/>
          <w:color w:val="2E5D9E"/>
          <w:sz w:val="26"/>
          <w:szCs w:val="26"/>
        </w:rPr>
        <w:t xml:space="preserve">5.4 Variables más influyentes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tblHeader/>
        </w:trPr>
        <w:tc>
          <w:tcPr>
            <w:tcW w:type="dxa" w:w="9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6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Significado de negocio</w:t>
            </w:r>
          </w:p>
        </w:tc>
      </w:tr>
      <w:tr>
        <w:trPr>
          <w:tblHeader w:val="false"/>
        </w:trP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CompetitionDistance</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 ubicación es el factor más determinante de las ventas</w:t>
            </w:r>
          </w:p>
        </w:tc>
      </w:tr>
      <w:tr>
        <w:trPr>
          <w:tblHeader w:val="false"/>
        </w:trP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Cada tienda tiene su propio patrón único de comportamiento</w:t>
            </w:r>
          </w:p>
        </w:tc>
      </w:tr>
      <w:tr>
        <w:trPr>
          <w:tblHeader w:val="false"/>
        </w:trP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Promo</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Única palanca que el gerente puede activar directamente</w:t>
            </w:r>
          </w:p>
        </w:tc>
      </w:tr>
      <w:tr>
        <w:trPr>
          <w:tblHeader w:val="false"/>
        </w:trP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DayOfWeek</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Patrones semanales más consistentes que los mensuales</w:t>
            </w:r>
          </w:p>
        </w:tc>
      </w:tr>
      <w:tr>
        <w:trPr>
          <w:tblHeader w:val="false"/>
        </w:trPr>
        <w:tc>
          <w:tcPr>
            <w:tcW w:type="dxa" w:w="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StoreType</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El formato define el techo máximo de ventas posibles</w:t>
            </w:r>
          </w:p>
        </w:tc>
      </w:tr>
    </w:tbl>
    <w:p>
      <w:pPr>
        <w:spacing w:after="80" w:before="80"/>
      </w:pPr>
      <w:r>
        <w:t xml:space="preserve"/>
      </w:r>
    </w:p>
    <w:p>
      <w:pPr>
        <w:spacing w:after="160" w:before="320"/>
      </w:pPr>
      <w:r>
        <w:rPr>
          <w:rFonts w:ascii="Arial" w:cs="Arial" w:eastAsia="Arial" w:hAnsi="Arial"/>
          <w:b/>
          <w:bCs/>
          <w:color w:val="1A2E4A"/>
          <w:sz w:val="32"/>
          <w:szCs w:val="32"/>
        </w:rPr>
        <w:t xml:space="preserve">6. Proyección de Ventas: Agosto — Diciembre 2015</w:t>
      </w:r>
    </w:p>
    <w:p>
      <w:pPr>
        <w:pBdr>
          <w:bottom w:val="single" w:color="2E5D9E" w:sz="4" w:space="1"/>
        </w:pBdr>
        <w:spacing w:after="160" w:before="160"/>
      </w:pPr>
      <w:r>
        <w:t xml:space="preserve"/>
      </w:r>
    </w:p>
    <w:p>
      <w:pPr>
        <w:spacing w:after="80" w:before="60"/>
      </w:pPr>
      <w:r>
        <w:rPr>
          <w:rFonts w:ascii="Arial" w:cs="Arial" w:eastAsia="Arial" w:hAnsi="Arial"/>
          <w:color w:val="333333"/>
          <w:sz w:val="22"/>
          <w:szCs w:val="22"/>
        </w:rPr>
        <w:t xml:space="preserve">Con el modelo entrenado se proyectaron las ventas de los últimos 5 meses del año, el período más crítico para la cadena. La proyección incluye tres escenarios: conservador (-5%), base y optimista (+8%).</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Mes</w:t>
            </w:r>
          </w:p>
        </w:tc>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Conservador</w:t>
            </w:r>
          </w:p>
        </w:tc>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Base (modelo)</w:t>
            </w:r>
          </w:p>
        </w:tc>
        <w:tc>
          <w:tcPr>
            <w:tcW w:type="dxa" w:w="2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Optimista</w:t>
            </w:r>
          </w:p>
        </w:tc>
      </w:tr>
      <w:tr>
        <w:trPr>
          <w:tblHeader w:val="false"/>
        </w:trP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Agosto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€6,317</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€6,649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€7,181</w:t>
            </w:r>
          </w:p>
        </w:tc>
      </w:tr>
      <w:tr>
        <w:trPr>
          <w:tblHeader w:val="false"/>
        </w:trP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Septiembre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€6,219</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€6,546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€7,070</w:t>
            </w:r>
          </w:p>
        </w:tc>
      </w:tr>
      <w:tr>
        <w:trPr>
          <w:tblHeader w:val="false"/>
        </w:trP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Octubre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€6,273</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€6,603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€7,131</w:t>
            </w:r>
          </w:p>
        </w:tc>
      </w:tr>
      <w:tr>
        <w:trPr>
          <w:tblHeader w:val="false"/>
        </w:trP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Noviembre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€6,829</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€7,189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€7,764</w:t>
            </w:r>
          </w:p>
        </w:tc>
      </w:tr>
      <w:tr>
        <w:trPr>
          <w:tblHeader w:val="false"/>
        </w:trPr>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Diciembre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€8,179</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€8,609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€9,298</w:t>
            </w:r>
          </w:p>
        </w:tc>
      </w:tr>
    </w:tbl>
    <w:p>
      <w:pPr>
        <w:spacing w:after="80" w:before="80"/>
      </w:pPr>
      <w:r>
        <w:t xml:space="preserve"/>
      </w:r>
    </w:p>
    <w:p>
      <w:pPr>
        <w:spacing w:after="120" w:before="120"/>
      </w:pPr>
      <w:r>
        <w:drawing>
          <wp:inline distT="0" distB="0" distL="0" distR="0">
            <wp:extent cx="5905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571750"/>
                    </a:xfrm>
                    <a:prstGeom prst="rect">
                      <a:avLst/>
                    </a:prstGeom>
                  </pic:spPr>
                </pic:pic>
              </a:graphicData>
            </a:graphic>
          </wp:inline>
        </w:drawing>
      </w:r>
    </w:p>
    <w:p>
      <w:pPr>
        <w:spacing w:after="80" w:before="80"/>
      </w:pPr>
      <w:r>
        <w:t xml:space="preserve"/>
      </w:r>
    </w:p>
    <w:p>
      <w:pPr>
        <w:spacing w:after="80" w:before="60"/>
      </w:pPr>
      <w:r>
        <w:rPr>
          <w:rFonts w:ascii="Arial" w:cs="Arial" w:eastAsia="Arial" w:hAnsi="Arial"/>
          <w:b/>
          <w:bCs/>
          <w:color w:val="333333"/>
          <w:sz w:val="22"/>
          <w:szCs w:val="22"/>
        </w:rPr>
        <w:t xml:space="preserve">Lectura del gráfico: </w:t>
      </w:r>
      <w:r>
        <w:rPr>
          <w:rFonts w:ascii="Arial" w:cs="Arial" w:eastAsia="Arial" w:hAnsi="Arial"/>
          <w:color w:val="333333"/>
          <w:sz w:val="22"/>
          <w:szCs w:val="22"/>
        </w:rPr>
        <w:t xml:space="preserve">La línea azul muestra los datos reales de enero a julio 2015. La línea naranja punteada es la proyección del modelo para agosto a diciembre. La zona sombreada representa el rango entre el escenario conservador y el optimista. Las líneas grises son los años 2013 y 2014 como referencia histórica.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9E" w:sz="6"/>
              <w:left w:val="single" w:color="2E5D9E" w:sz="18"/>
              <w:bottom w:val="single" w:color="CCCCCC" w:sz="1"/>
              <w:right w:val="single" w:color="CCCCCC" w:sz="1"/>
            </w:tcBorders>
            <w:shd w:fill="EBF2FB" w:val="clear"/>
            <w:tcMar>
              <w:top w:type="dxa" w:w="120"/>
              <w:left w:type="dxa" w:w="200"/>
              <w:bottom w:type="dxa" w:w="120"/>
              <w:right w:type="dxa" w:w="120"/>
            </w:tcMar>
          </w:tcPr>
          <w:p>
            <w:r>
              <w:rPr>
                <w:rFonts w:ascii="Arial" w:cs="Arial" w:eastAsia="Arial" w:hAnsi="Arial"/>
                <w:i/>
                <w:iCs/>
                <w:color w:val="1A2E4A"/>
                <w:sz w:val="22"/>
                <w:szCs w:val="22"/>
              </w:rPr>
              <w:t xml:space="preserve">Clave estratégica: la diferencia entre el escenario conservador y optimista de diciembre es €1,119 por tienda por día. Multiplicado por 1,115 tiendas representa más de €1.2 millones diarios en juego según el nivel de preparación de la cadena.</w:t>
            </w:r>
          </w:p>
        </w:tc>
      </w:tr>
    </w:tbl>
    <w:p>
      <w:pPr>
        <w:spacing w:after="80" w:before="80"/>
      </w:pPr>
      <w:r>
        <w:t xml:space="preserve"/>
      </w:r>
    </w:p>
    <w:p>
      <w:pPr>
        <w:spacing w:after="160" w:before="320"/>
      </w:pPr>
      <w:r>
        <w:rPr>
          <w:rFonts w:ascii="Arial" w:cs="Arial" w:eastAsia="Arial" w:hAnsi="Arial"/>
          <w:b/>
          <w:bCs/>
          <w:color w:val="1A2E4A"/>
          <w:sz w:val="32"/>
          <w:szCs w:val="32"/>
        </w:rPr>
        <w:t xml:space="preserve">7. Recomendaciones al Gerente</w:t>
      </w:r>
    </w:p>
    <w:p>
      <w:pPr>
        <w:pBdr>
          <w:bottom w:val="single" w:color="2E5D9E" w:sz="4" w:space="1"/>
        </w:pBdr>
        <w:spacing w:after="160" w:before="160"/>
      </w:pPr>
      <w:r>
        <w:t xml:space="preserve"/>
      </w:r>
    </w:p>
    <w:p>
      <w:pPr>
        <w:spacing w:after="80" w:before="60"/>
      </w:pPr>
      <w:r>
        <w:rPr>
          <w:rFonts w:ascii="Arial" w:cs="Arial" w:eastAsia="Arial" w:hAnsi="Arial"/>
          <w:color w:val="333333"/>
          <w:sz w:val="22"/>
          <w:szCs w:val="22"/>
        </w:rPr>
        <w:t xml:space="preserve">Los datos cuentan una historia clara: esta cadena no tiene un problema de ventas, tiene un problema de concentración. El potencial de ingresos se juega en un mes, en un subconjunto de tiendas y en los días con promoción activa.</w:t>
      </w:r>
    </w:p>
    <w:p>
      <w:pPr>
        <w:spacing w:after="80" w:before="80"/>
      </w:pPr>
      <w:r>
        <w:t xml:space="preserve"/>
      </w:r>
    </w:p>
    <w:p>
      <w:pPr>
        <w:spacing w:after="80" w:before="200"/>
      </w:pPr>
      <w:r>
        <w:rPr>
          <w:rFonts w:ascii="Arial" w:cs="Arial" w:eastAsia="Arial" w:hAnsi="Arial"/>
          <w:b/>
          <w:bCs/>
          <w:color w:val="1A2E4A"/>
          <w:sz w:val="22"/>
          <w:szCs w:val="22"/>
        </w:rPr>
        <w:t xml:space="preserve">Recomendación 1 — Activar promociones en octubre y noviembre, no en diciembre</w:t>
      </w:r>
    </w:p>
    <w:p>
      <w:pPr>
        <w:spacing w:after="80" w:before="60"/>
      </w:pPr>
      <w:r>
        <w:rPr>
          <w:rFonts w:ascii="Arial" w:cs="Arial" w:eastAsia="Arial" w:hAnsi="Arial"/>
          <w:color w:val="333333"/>
          <w:sz w:val="22"/>
          <w:szCs w:val="22"/>
        </w:rPr>
        <w:t xml:space="preserve">Diciembre ya vende solo. El momento de invertir en promoción es antes del pico, cuando el cliente todavía está decidiendo dónde comprar. Llegar primero vale más que llegar con más presupuesto.</w:t>
      </w:r>
    </w:p>
    <w:p>
      <w:pPr>
        <w:spacing w:after="80" w:before="80"/>
      </w:pPr>
      <w:r>
        <w:t xml:space="preserve"/>
      </w:r>
    </w:p>
    <w:p>
      <w:pPr>
        <w:spacing w:after="80" w:before="200"/>
      </w:pPr>
      <w:r>
        <w:rPr>
          <w:rFonts w:ascii="Arial" w:cs="Arial" w:eastAsia="Arial" w:hAnsi="Arial"/>
          <w:b/>
          <w:bCs/>
          <w:color w:val="1A2E4A"/>
          <w:sz w:val="22"/>
          <w:szCs w:val="22"/>
        </w:rPr>
        <w:t xml:space="preserve">Recomendación 2 — Estudiar la tienda #817 como modelo operativo</w:t>
      </w:r>
    </w:p>
    <w:p>
      <w:pPr>
        <w:spacing w:after="80" w:before="60"/>
      </w:pPr>
      <w:r>
        <w:rPr>
          <w:rFonts w:ascii="Arial" w:cs="Arial" w:eastAsia="Arial" w:hAnsi="Arial"/>
          <w:color w:val="333333"/>
          <w:sz w:val="22"/>
          <w:szCs w:val="22"/>
        </w:rPr>
        <w:t xml:space="preserve">Una tienda que vende 8 veces más que la peor de la cadena tiene un sistema replicable. Identificar qué hace diferente en ubicación, surtido y frecuencia de promociones, y aplicarlo donde sea posible.</w:t>
      </w:r>
    </w:p>
    <w:p>
      <w:pPr>
        <w:spacing w:after="80" w:before="80"/>
      </w:pPr>
      <w:r>
        <w:t xml:space="preserve"/>
      </w:r>
    </w:p>
    <w:p>
      <w:pPr>
        <w:spacing w:after="80" w:before="200"/>
      </w:pPr>
      <w:r>
        <w:rPr>
          <w:rFonts w:ascii="Arial" w:cs="Arial" w:eastAsia="Arial" w:hAnsi="Arial"/>
          <w:b/>
          <w:bCs/>
          <w:color w:val="1A2E4A"/>
          <w:sz w:val="22"/>
          <w:szCs w:val="22"/>
        </w:rPr>
        <w:t xml:space="preserve">Recomendación 3 — Auditoría de las tiendas de bajo rendimiento</w:t>
      </w:r>
    </w:p>
    <w:p>
      <w:pPr>
        <w:spacing w:after="80" w:before="60"/>
      </w:pPr>
      <w:r>
        <w:rPr>
          <w:rFonts w:ascii="Arial" w:cs="Arial" w:eastAsia="Arial" w:hAnsi="Arial"/>
          <w:color w:val="333333"/>
          <w:sz w:val="22"/>
          <w:szCs w:val="22"/>
        </w:rPr>
        <w:t xml:space="preserve">Con €2,704 de venta diaria promedio, la pregunta no es cómo mejorar la tienda #307 — es si el capital invertido en ella genera más valor ahí o reubicado en zonas de mayor tráfico.</w:t>
      </w:r>
    </w:p>
    <w:p>
      <w:pPr>
        <w:spacing w:after="80" w:before="80"/>
      </w:pPr>
      <w:r>
        <w:t xml:space="preserve"/>
      </w:r>
    </w:p>
    <w:p>
      <w:pPr>
        <w:spacing w:after="80" w:before="200"/>
      </w:pPr>
      <w:r>
        <w:rPr>
          <w:rFonts w:ascii="Arial" w:cs="Arial" w:eastAsia="Arial" w:hAnsi="Arial"/>
          <w:b/>
          <w:bCs/>
          <w:color w:val="1A2E4A"/>
          <w:sz w:val="22"/>
          <w:szCs w:val="22"/>
        </w:rPr>
        <w:t xml:space="preserve">Recomendación 4 — Usar el modelo para planificar inventario</w:t>
      </w:r>
    </w:p>
    <w:p>
      <w:pPr>
        <w:spacing w:after="80" w:before="60"/>
      </w:pPr>
      <w:r>
        <w:rPr>
          <w:rFonts w:ascii="Arial" w:cs="Arial" w:eastAsia="Arial" w:hAnsi="Arial"/>
          <w:color w:val="333333"/>
          <w:sz w:val="22"/>
          <w:szCs w:val="22"/>
        </w:rPr>
        <w:t xml:space="preserve">Con un error promedio de €1,183 por día por tienda, el modelo es suficientemente preciso para planificar pedidos de inventario con 2 a 4 semanas de anticipación.</w:t>
      </w:r>
    </w:p>
    <w:p>
      <w:pPr>
        <w:spacing w:after="80" w:before="80"/>
      </w:pPr>
      <w:r>
        <w:t xml:space="preserve"/>
      </w:r>
    </w:p>
    <w:p>
      <w:pPr>
        <w:spacing w:after="160" w:before="320"/>
      </w:pPr>
      <w:r>
        <w:rPr>
          <w:rFonts w:ascii="Arial" w:cs="Arial" w:eastAsia="Arial" w:hAnsi="Arial"/>
          <w:b/>
          <w:bCs/>
          <w:color w:val="1A2E4A"/>
          <w:sz w:val="32"/>
          <w:szCs w:val="32"/>
        </w:rPr>
        <w:t xml:space="preserve">8. Estructura del Repositorio GitHub</w:t>
      </w:r>
    </w:p>
    <w:p>
      <w:pPr>
        <w:pBdr>
          <w:bottom w:val="single" w:color="2E5D9E" w:sz="4" w:space="1"/>
        </w:pBdr>
        <w:spacing w:after="160" w:before="160"/>
      </w:pPr>
      <w:r>
        <w:t xml:space="preserve"/>
      </w:r>
    </w:p>
    <w:p>
      <w:pPr>
        <w:pStyle w:val="ListParagraph"/>
        <w:numPr>
          <w:ilvl w:val="0"/>
          <w:numId w:val="2"/>
        </w:numPr>
        <w:spacing w:after="40" w:before="40"/>
      </w:pPr>
      <w:r>
        <w:rPr>
          <w:rFonts w:ascii="Arial" w:cs="Arial" w:eastAsia="Arial" w:hAnsi="Arial"/>
          <w:b/>
          <w:bCs/>
          <w:color w:val="1A2E4A"/>
          <w:sz w:val="22"/>
          <w:szCs w:val="22"/>
        </w:rPr>
        <w:t xml:space="preserve">rossmann-sales/ </w:t>
      </w:r>
      <w:r>
        <w:rPr>
          <w:rFonts w:ascii="Arial" w:cs="Arial" w:eastAsia="Arial" w:hAnsi="Arial"/>
          <w:color w:val="333333"/>
          <w:sz w:val="22"/>
          <w:szCs w:val="22"/>
        </w:rPr>
        <w:t xml:space="preserve">data/raw/ — CSVs originales de Kaggle (excluidos via .gitignore)</w:t>
      </w:r>
    </w:p>
    <w:p>
      <w:pPr>
        <w:pStyle w:val="ListParagraph"/>
        <w:numPr>
          <w:ilvl w:val="0"/>
          <w:numId w:val="2"/>
        </w:numPr>
        <w:spacing w:after="40" w:before="40"/>
      </w:pPr>
      <w:r>
        <w:rPr>
          <w:rFonts w:ascii="Arial" w:cs="Arial" w:eastAsia="Arial" w:hAnsi="Arial"/>
          <w:color w:val="333333"/>
          <w:sz w:val="22"/>
          <w:szCs w:val="22"/>
        </w:rPr>
        <w:t xml:space="preserve">data/processed/train_clean.csv — Dataset limpio listo para análisis</w:t>
      </w:r>
    </w:p>
    <w:p>
      <w:pPr>
        <w:pStyle w:val="ListParagraph"/>
        <w:numPr>
          <w:ilvl w:val="0"/>
          <w:numId w:val="2"/>
        </w:numPr>
        <w:spacing w:after="40" w:before="40"/>
      </w:pPr>
      <w:r>
        <w:rPr>
          <w:rFonts w:ascii="Arial" w:cs="Arial" w:eastAsia="Arial" w:hAnsi="Arial"/>
          <w:color w:val="333333"/>
          <w:sz w:val="22"/>
          <w:szCs w:val="22"/>
        </w:rPr>
        <w:t xml:space="preserve">notebooks/01_cleaning.ipynb — Carga, unión y limpieza</w:t>
      </w:r>
    </w:p>
    <w:p>
      <w:pPr>
        <w:pStyle w:val="ListParagraph"/>
        <w:numPr>
          <w:ilvl w:val="0"/>
          <w:numId w:val="2"/>
        </w:numPr>
        <w:spacing w:after="40" w:before="40"/>
      </w:pPr>
      <w:r>
        <w:rPr>
          <w:rFonts w:ascii="Arial" w:cs="Arial" w:eastAsia="Arial" w:hAnsi="Arial"/>
          <w:color w:val="333333"/>
          <w:sz w:val="22"/>
          <w:szCs w:val="22"/>
        </w:rPr>
        <w:t xml:space="preserve">notebooks/02_eda.ipynb — Análisis exploratorio con 5 hallazgos</w:t>
      </w:r>
    </w:p>
    <w:p>
      <w:pPr>
        <w:pStyle w:val="ListParagraph"/>
        <w:numPr>
          <w:ilvl w:val="0"/>
          <w:numId w:val="2"/>
        </w:numPr>
        <w:spacing w:after="40" w:before="40"/>
      </w:pPr>
      <w:r>
        <w:rPr>
          <w:rFonts w:ascii="Arial" w:cs="Arial" w:eastAsia="Arial" w:hAnsi="Arial"/>
          <w:color w:val="333333"/>
          <w:sz w:val="22"/>
          <w:szCs w:val="22"/>
        </w:rPr>
        <w:t xml:space="preserve">notebooks/03_model.ipynb — Feature engineering, Random Forest y proyección</w:t>
      </w:r>
    </w:p>
    <w:p>
      <w:pPr>
        <w:pStyle w:val="ListParagraph"/>
        <w:numPr>
          <w:ilvl w:val="0"/>
          <w:numId w:val="2"/>
        </w:numPr>
        <w:spacing w:after="40" w:before="40"/>
      </w:pPr>
      <w:r>
        <w:rPr>
          <w:rFonts w:ascii="Arial" w:cs="Arial" w:eastAsia="Arial" w:hAnsi="Arial"/>
          <w:color w:val="333333"/>
          <w:sz w:val="22"/>
          <w:szCs w:val="22"/>
        </w:rPr>
        <w:t xml:space="preserve">outputs/ — 8 gráficos exportados en alta resolución (.png)</w:t>
      </w:r>
    </w:p>
    <w:p>
      <w:pPr>
        <w:pStyle w:val="ListParagraph"/>
        <w:numPr>
          <w:ilvl w:val="0"/>
          <w:numId w:val="2"/>
        </w:numPr>
        <w:spacing w:after="40" w:before="40"/>
      </w:pPr>
      <w:r>
        <w:rPr>
          <w:rFonts w:ascii="Arial" w:cs="Arial" w:eastAsia="Arial" w:hAnsi="Arial"/>
          <w:color w:val="333333"/>
          <w:sz w:val="22"/>
          <w:szCs w:val="22"/>
        </w:rPr>
        <w:t xml:space="preserve">requirements.txt — Dependencias del proyecto</w:t>
      </w:r>
    </w:p>
    <w:p>
      <w:pPr>
        <w:pStyle w:val="ListParagraph"/>
        <w:numPr>
          <w:ilvl w:val="0"/>
          <w:numId w:val="2"/>
        </w:numPr>
        <w:spacing w:after="40" w:before="40"/>
      </w:pPr>
      <w:r>
        <w:rPr>
          <w:rFonts w:ascii="Arial" w:cs="Arial" w:eastAsia="Arial" w:hAnsi="Arial"/>
          <w:color w:val="333333"/>
          <w:sz w:val="22"/>
          <w:szCs w:val="22"/>
        </w:rPr>
        <w:t xml:space="preserve">README.md — Contexto, hallazgos y enlace a resultados</w:t>
      </w:r>
    </w:p>
    <w:p>
      <w:pPr>
        <w:spacing w:after="80" w:before="80"/>
      </w:pPr>
      <w:r>
        <w:t xml:space="preserve"/>
      </w:r>
    </w:p>
    <w:p>
      <w:pPr>
        <w:spacing w:after="160" w:before="320"/>
      </w:pPr>
      <w:r>
        <w:rPr>
          <w:rFonts w:ascii="Arial" w:cs="Arial" w:eastAsia="Arial" w:hAnsi="Arial"/>
          <w:b/>
          <w:bCs/>
          <w:color w:val="1A2E4A"/>
          <w:sz w:val="32"/>
          <w:szCs w:val="32"/>
        </w:rPr>
        <w:t xml:space="preserve">9. Lecciones Aprendidas y Próximos Pasos</w:t>
      </w:r>
    </w:p>
    <w:p>
      <w:pPr>
        <w:pBdr>
          <w:bottom w:val="single" w:color="2E5D9E" w:sz="4" w:space="1"/>
        </w:pBdr>
        <w:spacing w:after="160" w:before="160"/>
      </w:pPr>
      <w:r>
        <w:t xml:space="preserve"/>
      </w:r>
    </w:p>
    <w:p>
      <w:pPr>
        <w:spacing w:after="120" w:before="260"/>
      </w:pPr>
      <w:r>
        <w:rPr>
          <w:rFonts w:ascii="Arial" w:cs="Arial" w:eastAsia="Arial" w:hAnsi="Arial"/>
          <w:b/>
          <w:bCs/>
          <w:color w:val="2E5D9E"/>
          <w:sz w:val="26"/>
          <w:szCs w:val="26"/>
        </w:rPr>
        <w:t xml:space="preserve">Flujo replicable para el próximo proyecto</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Paso 1: Definir la pregunta de negocio antes de tocar los datos.</w:t>
      </w:r>
    </w:p>
    <w:p>
      <w:pPr>
        <w:pStyle w:val="ListParagraph"/>
        <w:numPr>
          <w:ilvl w:val="0"/>
          <w:numId w:val="2"/>
        </w:numPr>
        <w:spacing w:after="40" w:before="40"/>
      </w:pPr>
      <w:r>
        <w:rPr>
          <w:rFonts w:ascii="Arial" w:cs="Arial" w:eastAsia="Arial" w:hAnsi="Arial"/>
          <w:color w:val="333333"/>
          <w:sz w:val="22"/>
          <w:szCs w:val="22"/>
        </w:rPr>
        <w:t xml:space="preserve">Paso 2: Conectar la fuente de datos (API, SQL, archivo plano).</w:t>
      </w:r>
    </w:p>
    <w:p>
      <w:pPr>
        <w:pStyle w:val="ListParagraph"/>
        <w:numPr>
          <w:ilvl w:val="0"/>
          <w:numId w:val="2"/>
        </w:numPr>
        <w:spacing w:after="40" w:before="40"/>
      </w:pPr>
      <w:r>
        <w:rPr>
          <w:rFonts w:ascii="Arial" w:cs="Arial" w:eastAsia="Arial" w:hAnsi="Arial"/>
          <w:color w:val="333333"/>
          <w:sz w:val="22"/>
          <w:szCs w:val="22"/>
        </w:rPr>
        <w:t xml:space="preserve">Paso 3: Limpiar y unir tablas. Documentar cada decisión de imputación.</w:t>
      </w:r>
    </w:p>
    <w:p>
      <w:pPr>
        <w:pStyle w:val="ListParagraph"/>
        <w:numPr>
          <w:ilvl w:val="0"/>
          <w:numId w:val="2"/>
        </w:numPr>
        <w:spacing w:after="40" w:before="40"/>
      </w:pPr>
      <w:r>
        <w:rPr>
          <w:rFonts w:ascii="Arial" w:cs="Arial" w:eastAsia="Arial" w:hAnsi="Arial"/>
          <w:color w:val="333333"/>
          <w:sz w:val="22"/>
          <w:szCs w:val="22"/>
        </w:rPr>
        <w:t xml:space="preserve">Paso 4: EDA con al menos 4 preguntas visualizadas y un insight accionable por cada una.</w:t>
      </w:r>
    </w:p>
    <w:p>
      <w:pPr>
        <w:pStyle w:val="ListParagraph"/>
        <w:numPr>
          <w:ilvl w:val="0"/>
          <w:numId w:val="2"/>
        </w:numPr>
        <w:spacing w:after="40" w:before="40"/>
      </w:pPr>
      <w:r>
        <w:rPr>
          <w:rFonts w:ascii="Arial" w:cs="Arial" w:eastAsia="Arial" w:hAnsi="Arial"/>
          <w:color w:val="333333"/>
          <w:sz w:val="22"/>
          <w:szCs w:val="22"/>
        </w:rPr>
        <w:t xml:space="preserve">Paso 5: Feature engineering. Las variables nuevas valen más que el algoritmo elegido.</w:t>
      </w:r>
    </w:p>
    <w:p>
      <w:pPr>
        <w:pStyle w:val="ListParagraph"/>
        <w:numPr>
          <w:ilvl w:val="0"/>
          <w:numId w:val="2"/>
        </w:numPr>
        <w:spacing w:after="40" w:before="40"/>
      </w:pPr>
      <w:r>
        <w:rPr>
          <w:rFonts w:ascii="Arial" w:cs="Arial" w:eastAsia="Arial" w:hAnsi="Arial"/>
          <w:color w:val="333333"/>
          <w:sz w:val="22"/>
          <w:szCs w:val="22"/>
        </w:rPr>
        <w:t xml:space="preserve">Paso 6: Entrenar, evaluar y documentar el modelo con métricas interpretables.</w:t>
      </w:r>
    </w:p>
    <w:p>
      <w:pPr>
        <w:pStyle w:val="ListParagraph"/>
        <w:numPr>
          <w:ilvl w:val="0"/>
          <w:numId w:val="2"/>
        </w:numPr>
        <w:spacing w:after="40" w:before="40"/>
      </w:pPr>
      <w:r>
        <w:rPr>
          <w:rFonts w:ascii="Arial" w:cs="Arial" w:eastAsia="Arial" w:hAnsi="Arial"/>
          <w:color w:val="333333"/>
          <w:sz w:val="22"/>
          <w:szCs w:val="22"/>
        </w:rPr>
        <w:t xml:space="preserve">Paso 7: Escribir recomendaciones en lenguaje gerencial, no técnico.</w:t>
      </w:r>
    </w:p>
    <w:p>
      <w:pPr>
        <w:spacing w:after="80" w:before="80"/>
      </w:pPr>
      <w:r>
        <w:t xml:space="preserve"/>
      </w:r>
    </w:p>
    <w:p>
      <w:pPr>
        <w:spacing w:after="120" w:before="260"/>
      </w:pPr>
      <w:r>
        <w:rPr>
          <w:rFonts w:ascii="Arial" w:cs="Arial" w:eastAsia="Arial" w:hAnsi="Arial"/>
          <w:b/>
          <w:bCs/>
          <w:color w:val="2E5D9E"/>
          <w:sz w:val="26"/>
          <w:szCs w:val="26"/>
        </w:rPr>
        <w:t xml:space="preserve">Áreas de mejora para versiones futuras</w:t>
      </w:r>
    </w:p>
    <w:p>
      <w:pPr>
        <w:spacing w:after="80" w:before="80"/>
      </w:pPr>
      <w:r>
        <w:t xml:space="preserve"/>
      </w:r>
    </w:p>
    <w:p>
      <w:pPr>
        <w:pStyle w:val="ListParagraph"/>
        <w:numPr>
          <w:ilvl w:val="0"/>
          <w:numId w:val="2"/>
        </w:numPr>
        <w:spacing w:after="40" w:before="40"/>
      </w:pPr>
      <w:r>
        <w:rPr>
          <w:rFonts w:ascii="Arial" w:cs="Arial" w:eastAsia="Arial" w:hAnsi="Arial"/>
          <w:color w:val="333333"/>
          <w:sz w:val="22"/>
          <w:szCs w:val="22"/>
        </w:rPr>
        <w:t xml:space="preserve">Implementar validación cruzada (cross-validation) para evaluación más robusta.</w:t>
      </w:r>
    </w:p>
    <w:p>
      <w:pPr>
        <w:pStyle w:val="ListParagraph"/>
        <w:numPr>
          <w:ilvl w:val="0"/>
          <w:numId w:val="2"/>
        </w:numPr>
        <w:spacing w:after="40" w:before="40"/>
      </w:pPr>
      <w:r>
        <w:rPr>
          <w:rFonts w:ascii="Arial" w:cs="Arial" w:eastAsia="Arial" w:hAnsi="Arial"/>
          <w:color w:val="333333"/>
          <w:sz w:val="22"/>
          <w:szCs w:val="22"/>
        </w:rPr>
        <w:t xml:space="preserve">Probar XGBoost como alternativa — suele superar a Random Forest en datos tabulares.</w:t>
      </w:r>
    </w:p>
    <w:p>
      <w:pPr>
        <w:pStyle w:val="ListParagraph"/>
        <w:numPr>
          <w:ilvl w:val="0"/>
          <w:numId w:val="2"/>
        </w:numPr>
        <w:spacing w:after="40" w:before="40"/>
      </w:pPr>
      <w:r>
        <w:rPr>
          <w:rFonts w:ascii="Arial" w:cs="Arial" w:eastAsia="Arial" w:hAnsi="Arial"/>
          <w:color w:val="333333"/>
          <w:sz w:val="22"/>
          <w:szCs w:val="22"/>
        </w:rPr>
        <w:t xml:space="preserve">Agregar variables externas: clima, eventos locales, feriados por región.</w:t>
      </w:r>
    </w:p>
    <w:p>
      <w:pPr>
        <w:pStyle w:val="ListParagraph"/>
        <w:numPr>
          <w:ilvl w:val="0"/>
          <w:numId w:val="2"/>
        </w:numPr>
        <w:spacing w:after="40" w:before="40"/>
      </w:pPr>
      <w:r>
        <w:rPr>
          <w:rFonts w:ascii="Arial" w:cs="Arial" w:eastAsia="Arial" w:hAnsi="Arial"/>
          <w:color w:val="333333"/>
          <w:sz w:val="22"/>
          <w:szCs w:val="22"/>
        </w:rPr>
        <w:t xml:space="preserve">Construir un pipeline de predicción automatizado con forecasts semanales.</w:t>
      </w:r>
    </w:p>
    <w:p>
      <w:pPr>
        <w:spacing w:after="80" w:before="80"/>
      </w:pPr>
      <w:r>
        <w:t xml:space="preserve"/>
      </w:r>
    </w:p>
    <w:p>
      <w:r>
        <w:br w:type="page"/>
      </w:r>
    </w:p>
    <w:p>
      <w:pPr>
        <w:spacing w:after="160" w:before="320"/>
      </w:pPr>
      <w:r>
        <w:rPr>
          <w:rFonts w:ascii="Arial" w:cs="Arial" w:eastAsia="Arial" w:hAnsi="Arial"/>
          <w:b/>
          <w:bCs/>
          <w:color w:val="1A2E4A"/>
          <w:sz w:val="32"/>
          <w:szCs w:val="32"/>
        </w:rPr>
        <w:t xml:space="preserve">10. Banco de Vocabulario Técnico</w:t>
      </w:r>
    </w:p>
    <w:p>
      <w:pPr>
        <w:pBdr>
          <w:bottom w:val="single" w:color="2E5D9E" w:sz="4" w:space="1"/>
        </w:pBdr>
        <w:spacing w:after="160" w:before="160"/>
      </w:pPr>
      <w:r>
        <w:t xml:space="preserve"/>
      </w:r>
    </w:p>
    <w:p>
      <w:pPr>
        <w:spacing w:after="80" w:before="60"/>
      </w:pPr>
      <w:r>
        <w:rPr>
          <w:rFonts w:ascii="Arial" w:cs="Arial" w:eastAsia="Arial" w:hAnsi="Arial"/>
          <w:color w:val="333333"/>
          <w:sz w:val="22"/>
          <w:szCs w:val="22"/>
        </w:rPr>
        <w:t xml:space="preserve">Definiciones de todos los términos utilizados durante el proyecto, en orden alfabético: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Término</w:t>
            </w:r>
          </w:p>
        </w:tc>
        <w:tc>
          <w:tcPr>
            <w:tcW w:type="dxa" w:w="6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20"/>
                <w:szCs w:val="20"/>
              </w:rPr>
              <w:t xml:space="preserve">Definición</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.gitignore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Archivo que indica a Git qué archivos no subir al repositorio. Usado para excluir datos sensibles, entornos virtuales y archivos temporales.</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Interfaz que permite a dos programas comunicarse. La API de Kaggle permite descargar datasets directamente desde la terminal.</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Árbol de decisión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Algoritmo que hace preguntas binarias (sí/no) sobre los datos para llegar a una predicción. Es la unidad básica del Random Forest.</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CSV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Formato de archivo de texto donde los datos están separados por comas. Es el formato más universal para intercambiar datos tabulares.</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Dataset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Conjunto de datos organizado en filas y columnas. Cada fila es un registro y cada columna es una variable.</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EDA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Exploratory Data Analysis. Proceso de investigar un dataset con estadísticas y visualizaciones para entender su estructura antes de modelar.</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Entorno virtual (venv)</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Copia aislada de Python con sus propias librerías. Evita conflictos entre proyectos que requieren versiones diferentes de los mismos paquetes.</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 Engineering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Proceso de crear nuevas variables a partir de las existentes para mejorar la capacidad predictiva del modelo. Es el paso más valioso del proceso de ML.</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 Importance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Métrica que indica cuánto contribuye cada variable a las predicciones del modelo.</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Imputación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Técnica para reemplazar valores faltantes con un valor calculado (media, mediana, máximo) según el contexto del negocio.</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JOIN (LEFT JOIN)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Operación que combina dos tablas usando una columna común. LEFT JOIN conserva todas las filas de la tabla principal aunque no tengan coincidencia.</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Kaggle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Plataforma de ciencia de datos que aloja competencias y datasets públicos. Estándar de la industria para practicar y mostrar habilidades analíticas.</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Kernel (Jupyter)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Motor que ejecuta el código dentro de un Jupyter Notebook. Debe apuntar al entorno virtual del proyecto.</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Llave primaria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Columna que identifica de forma única cada registro en una tabla. En este proyecto, Store conecta train.csv con store.csv.</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Mean Absolute Error. Promedio de las diferencias absolutas entre valores reales y predichos. Resultado: €1,183 por tienda por día.</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Mean Absolute Percentage Error. Error porcentual absoluto medio. Resultado: 19.2% (excluyendo días con ventas = 0).</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Merge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Función de pandas equivalente a un JOIN en SQL. Combina dos DataFrames usando columnas en común.</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Modelo predictivo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Algoritmo que aprende patrones históricos para estimar valores futuros. En este proyecto predice ventas diarias por tienda.</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n_estimators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Parámetro de Random Forest que define cuántos árboles construir. Se usó 200 árboles.</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Nulos (NaN)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Valores ausentes en un dataset. Deben tratarse antes de entrenar cualquier modelo.</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pandas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Librería de Python para manipulación de datos tabulares. Provee el objeto DataFrame, equivalente a una hoja de Excel programable.</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Gestor de paquetes de Python. Permite instalar librerías desde la terminal con pip install nombre.</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R² (R-squared)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Coeficiente de determinación. Indica qué proporción de la variación explica el modelo. Resultado: 0.71 (71% de la variación en ventas).</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Random Forest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Algoritmo que construye múltiples árboles de decisión y promedia sus predicciones para un resultado más robusto que cualquier árbol individual.</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random_state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Parámetro que fija la semilla aleatoria. Garantiza que el mismo código produce los mismos resultados en cualquier momento.</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RMSE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Root Mean Squared Error. Similar al MAE pero penaliza más los errores grandes. Resultado: €1,666.</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scikit-learn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Librería de machine learning para Python. Provee implementaciones de cientos de algoritmos con una interfaz unificada.</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seaborn / matplotlib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Librerías de Python para visualización. matplotlib es la base; seaborn agrega estética y funciones estadísticas de alto nivel.</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Train/Test Split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Dividir el dataset en 80% para entrenamiento y 20% para evaluación. Garantiza que el modelo sea evaluado con datos que nunca vio.</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Variable objetivo (target)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 variable que el modelo intenta predecir. En este proyecto: Sales (ventas diarias en euros).</w:t>
            </w:r>
          </w:p>
        </w:tc>
      </w:tr>
      <w:tr>
        <w:trPr>
          <w:tblHeader w:val="false"/>
        </w:trP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Variable predictora (feature)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Variables usadas como entrada para generar la predicción. En este proyecto: 19 variables incluyendo DayOfWeek, Promo, StoreType y las 11 creadas en Feature Engineering.</w:t>
            </w:r>
          </w:p>
        </w:tc>
      </w:tr>
    </w:tbl>
    <w:p>
      <w:pPr>
        <w:spacing w:after="80" w:before="80"/>
      </w:pPr>
      <w:r>
        <w:t xml:space="preserve"/>
      </w:r>
    </w:p>
    <w:p>
      <w:pPr>
        <w:spacing w:after="80" w:before="80"/>
      </w:pPr>
      <w:r>
        <w:t xml:space="preserve"/>
      </w:r>
    </w:p>
    <w:p>
      <w:pPr>
        <w:pBdr>
          <w:top w:val="single" w:color="CCCCCC" w:sz="2" w:space="1"/>
        </w:pBdr>
        <w:spacing w:after="80" w:before="160"/>
        <w:jc w:val="center"/>
      </w:pPr>
      <w:r>
        <w:rPr>
          <w:rFonts w:ascii="Arial" w:cs="Arial" w:eastAsia="Arial" w:hAnsi="Arial"/>
          <w:color w:val="888888"/>
          <w:sz w:val="18"/>
          <w:szCs w:val="18"/>
        </w:rPr>
        <w:t xml:space="preserve">Informe generado como parte del portafolio Data Analyst Entry-Level · Python · Jupyter · Kaggle 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E4A"/>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5D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bafc765058525e085db40cb6a082f3d9902c7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2026-05-10T23:49:55.574Z</dcterms:created>
  <dcterms:modified xsi:type="dcterms:W3CDTF">2026-05-10T23:49:55.590Z</dcterms:modified>
</cp:coreProperties>
</file>

<file path=docProps/custom.xml><?xml version="1.0" encoding="utf-8"?>
<Properties xmlns="http://schemas.openxmlformats.org/officeDocument/2006/custom-properties" xmlns:vt="http://schemas.openxmlformats.org/officeDocument/2006/docPropsVTypes"/>
</file>