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Hospitality 2035</w:t>
      </w:r>
    </w:p>
    <w:p>
      <w:r>
        <w:rPr>
          <w:b/>
          <w:sz w:val="26"/>
        </w:rPr>
        <w:t>AGB &amp; Lizenzbedingungen · Widerrufsbelehrung · Technische Checkout-Vorgaben</w:t>
      </w:r>
    </w:p>
    <w:p>
      <w:r>
        <w:rPr>
          <w:i/>
          <w:sz w:val="20"/>
        </w:rPr>
        <w:t>Textvorlage für die Umsetzung der Landingpage</w:t>
      </w:r>
    </w:p>
    <w:p>
      <w:r>
        <w:rPr>
          <w:b/>
        </w:rPr>
        <w:t xml:space="preserve">Hinweis: </w:t>
      </w:r>
      <w:r>
        <w:t>Die mit [●] gekennzeichneten Angaben sind vor Veröffentlichung zu ergänzen. Die Texte sind als Arbeitsvorlage für die Webumsetzung gedacht und sollten vor Livegang rechtlich geprüft werden.</w:t>
      </w:r>
    </w:p>
    <w:p>
      <w:r>
        <w:t>Stand: September 2026</w:t>
      </w:r>
    </w:p>
    <w:p>
      <w:r>
        <w:br w:type="page"/>
      </w:r>
    </w:p>
    <w:p>
      <w:pPr>
        <w:pStyle w:val="Heading1"/>
      </w:pPr>
      <w:r>
        <w:t>Allgemeine Geschäfts- und Lizenzbedingungen</w:t>
      </w:r>
    </w:p>
    <w:p>
      <w:r>
        <w:t>für den Erwerb der Studie „Hospitality 2035 – Wie sich die wirtschaftliche Logik der Hotellerie verändert“</w:t>
      </w:r>
    </w:p>
    <w:p>
      <w:pPr>
        <w:pStyle w:val="Heading2"/>
      </w:pPr>
      <w:r>
        <w:t>1. Anbieter und Geltungsbereich</w:t>
      </w:r>
    </w:p>
    <w:p>
      <w:r>
        <w:t>Diese Allgemeinen Geschäfts- und Lizenzbedingungen gelten für den Erwerb und die Nutzung der digitalen Studie „Hospitality 2035 – Wie sich die wirtschaftliche Logik der Hotellerie verändert“ über die Website von</w:t>
      </w:r>
    </w:p>
    <w:p>
      <w:r>
        <w:t>DICON Marketing- und Beratungsgesellschaft mbH</w:t>
        <w:br/>
        <w:t>[Geschäftsanschrift]</w:t>
        <w:br/>
        <w:t>Geschäftsführer: Dipl.-Volkswirt Roland Schwecke</w:t>
        <w:br/>
        <w:t>E-Mail: [●]</w:t>
        <w:br/>
        <w:t>Telefon: [●]</w:t>
        <w:br/>
        <w:t>Handelsregister: [●]</w:t>
        <w:br/>
        <w:t>HRB: [●]</w:t>
        <w:br/>
        <w:t>USt-IdNr.: DE235630864</w:t>
      </w:r>
    </w:p>
    <w:p>
      <w:r>
        <w:t>– nachfolgend „DICON“ genannt.</w:t>
      </w:r>
    </w:p>
    <w:p>
      <w:r>
        <w:t>Diese Bedingungen gelten gegenüber Unternehmern und Verbrauchern. Verbraucher ist jede natürliche Person, die ein Rechtsgeschäft zu Zwecken abschließt, die überwiegend weder ihrer gewerblichen noch ihrer selbständigen beruflichen Tätigkeit zugerechnet werden können. Unternehmer ist eine natürliche oder juristische Person oder eine rechtsfähige Personengesellschaft, die bei Abschluss des Vertrags in Ausübung ihrer gewerblichen oder selbständigen beruflichen Tätigkeit handelt.</w:t>
      </w:r>
    </w:p>
    <w:p>
      <w:pPr>
        <w:pStyle w:val="Heading2"/>
      </w:pPr>
      <w:r>
        <w:t>2. Vertragsgegenstand</w:t>
      </w:r>
    </w:p>
    <w:p>
      <w:r>
        <w:t>Gegenstand des Vertrages ist die entgeltliche Bereitstellung der Studie „Hospitality 2035 – Wie sich die wirtschaftliche Logik der Hotellerie verändert“ als digitale Publikation im PDF-Format sowie die Einräumung der für die jeweils erworbene Lizenz vorgesehenen Nutzungsrechte.</w:t>
      </w:r>
    </w:p>
    <w:p>
      <w:r>
        <w:t>Der Erwerb einer Lizenz führt nicht zur Übertragung von Urheberrechten an der Studie oder ihren einzelnen Bestandteilen.</w:t>
      </w:r>
    </w:p>
    <w:p>
      <w:pPr>
        <w:pStyle w:val="Heading2"/>
      </w:pPr>
      <w:r>
        <w:t>3. Lizenzmodelle</w:t>
      </w:r>
    </w:p>
    <w:p>
      <w:r>
        <w:t>Für die Studie werden folgende Lizenzmodelle angeboten:</w:t>
      </w:r>
    </w:p>
    <w:p>
      <w:r>
        <w:t>Single License – 249 € netto</w:t>
        <w:br/>
        <w:t>Die Single License berechtigt eine einzelne natürliche Person zur Nutzung der Studie.</w:t>
      </w:r>
    </w:p>
    <w:p>
      <w:r>
        <w:t>Team License – 1.490 € netto</w:t>
        <w:br/>
        <w:t>Die Team License berechtigt bis zu 10 Personen innerhalb desselben Unternehmens bzw. derselben Organisation zur Nutzung der Studie.</w:t>
      </w:r>
    </w:p>
    <w:p>
      <w:r>
        <w:t>Corporate License – ab 2.490 € netto</w:t>
        <w:br/>
        <w:t>Die Corporate License richtet sich an größere Teams, Unternehmen, Hotelgruppen und sonstige Organisationen. Der konkrete Nutzungsumfang und der Preis richten sich nach dem individuell vereinbarten Lizenzumfang.</w:t>
      </w:r>
    </w:p>
    <w:p>
      <w:r>
        <w:t>Soweit gegenüber Verbrauchern Preise angegeben werden, werden die gesetzlichen Anforderungen an die Angabe des Gesamtpreises einschließlich der anfallenden Umsatzsteuer berücksichtigt.</w:t>
      </w:r>
    </w:p>
    <w:p>
      <w:pPr>
        <w:pStyle w:val="Heading2"/>
      </w:pPr>
      <w:r>
        <w:t>4. Vertragsschluss</w:t>
      </w:r>
    </w:p>
    <w:p>
      <w:r>
        <w:t>Die Darstellung der Studie und der Lizenzmodelle auf der Website stellt noch kein rechtlich bindendes Angebot dar.</w:t>
      </w:r>
    </w:p>
    <w:p>
      <w:r>
        <w:t>Mit Abschluss des Bestellvorgangs gibt der Kunde ein verbindliches Angebot zum Erwerb der ausgewählten Lizenz ab.</w:t>
      </w:r>
    </w:p>
    <w:p>
      <w:r>
        <w:t>Bei unmittelbar online angebotenen Lizenzen kommt der Vertrag mit der Bestätigung der Bestellung durch DICON bzw. mit der Bereitstellung der digitalen Studie zustande.</w:t>
      </w:r>
    </w:p>
    <w:p>
      <w:r>
        <w:t>Bei Team- oder Corporate-Lizenzen, die zunächst über ein Anfrageformular angefragt werden, kommt durch die Anfrage noch kein Vertrag zustande. Der Vertrag kommt in diesen Fällen aufgrund eines gesonderten Angebots und dessen Annahme zustande.</w:t>
      </w:r>
    </w:p>
    <w:p>
      <w:pPr>
        <w:pStyle w:val="Heading2"/>
      </w:pPr>
      <w:r>
        <w:t>5. Preise und Zahlung</w:t>
      </w:r>
    </w:p>
    <w:p>
      <w:r>
        <w:t>Es gelten die zum Zeitpunkt der Bestellung auf der Website angegebenen Preise.</w:t>
      </w:r>
    </w:p>
    <w:p>
      <w:r>
        <w:t>Die Single License kann über die im Bestellprozess angebotenen Zahlungsmethoden, insbesondere über den eingebundenen Zahlungsdienstleister Stripe, bezahlt werden.</w:t>
      </w:r>
    </w:p>
    <w:p>
      <w:r>
        <w:t>Für Team- und Corporate-Lizenzen können abweichende Zahlungsmodalitäten vereinbart werden.</w:t>
      </w:r>
    </w:p>
    <w:p>
      <w:pPr>
        <w:pStyle w:val="Heading2"/>
      </w:pPr>
      <w:r>
        <w:t>6. Bereitstellung der Studie</w:t>
      </w:r>
    </w:p>
    <w:p>
      <w:r>
        <w:t>Nach erfolgreichem Abschluss des Bestell- und gegebenenfalls Zahlungsvorgangs wird die Studie elektronisch bereitgestellt, beispielsweise über einen Download-Link oder durch Übersendung an die vom Kunden angegebene E-Mail-Adresse.</w:t>
      </w:r>
    </w:p>
    <w:p>
      <w:r>
        <w:t>DICON ist berechtigt, jedes ausgelieferte Exemplar mit einer individuellen Lizenznummer oder einer sonstigen Kennzeichnung zu versehen.</w:t>
      </w:r>
    </w:p>
    <w:p>
      <w:r>
        <w:t>Die Lizenznummer dient insbesondere der Dokumentation und Zuordnung der jeweiligen Lizenz und darf nicht entfernt, verändert oder unkenntlich gemacht werden.</w:t>
      </w:r>
    </w:p>
    <w:p>
      <w:pPr>
        <w:pStyle w:val="Heading2"/>
      </w:pPr>
      <w:r>
        <w:t>7. Nutzungsrechte</w:t>
      </w:r>
    </w:p>
    <w:p>
      <w:r>
        <w:t>Mit vollständiger Zahlung des vereinbarten Preises erhält der Kunde ein einfaches, nicht ausschließliches und nicht übertragbares Nutzungsrecht an der Studie im Umfang der erworbenen Lizenz.</w:t>
      </w:r>
    </w:p>
    <w:p>
      <w:r>
        <w:t>Die Nutzung ist ausschließlich innerhalb des durch die jeweilige Lizenz festgelegten Nutzerkreises zulässig.</w:t>
      </w:r>
    </w:p>
    <w:p>
      <w:r>
        <w:t>Insbesondere ist es ohne vorherige schriftliche Zustimmung von DICON nicht gestattet,</w:t>
      </w:r>
    </w:p>
    <w:p>
      <w:pPr>
        <w:pStyle w:val="ListBullet"/>
      </w:pPr>
      <w:r>
        <w:t>die vollständige Studie oder wesentliche Teile davon an Personen außerhalb des lizenzierten Nutzerkreises weiterzugeben;</w:t>
      </w:r>
    </w:p>
    <w:p>
      <w:pPr>
        <w:pStyle w:val="ListBullet"/>
      </w:pPr>
      <w:r>
        <w:t>die Studie öffentlich zugänglich zu machen, insbesondere auf frei zugänglichen Websites, Plattformen, Datenbanken oder sozialen Netzwerken;</w:t>
      </w:r>
    </w:p>
    <w:p>
      <w:pPr>
        <w:pStyle w:val="ListBullet"/>
      </w:pPr>
      <w:r>
        <w:t>die Studie oder Kopien hiervon weiterzuverkaufen oder anderweitig kommerziell zu verbreiten;</w:t>
      </w:r>
    </w:p>
    <w:p>
      <w:pPr>
        <w:pStyle w:val="ListBullet"/>
      </w:pPr>
      <w:r>
        <w:t>die Studie vollständig oder in wesentlichen Teilen zu vervielfältigen und außerhalb des lizenzierten Nutzerkreises zu verbreiten;</w:t>
      </w:r>
    </w:p>
    <w:p>
      <w:pPr>
        <w:pStyle w:val="ListBullet"/>
      </w:pPr>
      <w:r>
        <w:t>Lizenznummern, Copyright-Vermerke oder sonstige Herkunfts- und Rechtehinweise zu entfernen oder zu verändern.</w:t>
      </w:r>
    </w:p>
    <w:p>
      <w:r>
        <w:t>Gesetzlich zulässige Nutzungen, insbesondere das Zitatrecht, bleiben unberührt. Bei Zitaten und sonstigen zulässigen Übernahmen ist die Quelle angemessen anzugeben.</w:t>
      </w:r>
    </w:p>
    <w:p>
      <w:pPr>
        <w:pStyle w:val="Heading2"/>
      </w:pPr>
      <w:r>
        <w:t>8. Urheberrecht</w:t>
      </w:r>
    </w:p>
    <w:p>
      <w:r>
        <w:t>Die Studie sowie ihre Texte, Analysen, Tabellen, Grafiken, Abbildungen, Modelle und sonstigen Inhalte sind urheberrechtlich geschützt, soweit nicht ausdrücklich etwas anderes angegeben ist.</w:t>
      </w:r>
    </w:p>
    <w:p>
      <w:r>
        <w:t>Alle nicht ausdrücklich eingeräumten Rechte bleiben DICON bzw. den jeweiligen Rechteinhabern vorbehalten.</w:t>
      </w:r>
    </w:p>
    <w:p>
      <w:r>
        <w:t>© DICON Marketing- und Beratungsgesellschaft mbH / Hospitality 2035.</w:t>
      </w:r>
    </w:p>
    <w:p>
      <w:pPr>
        <w:pStyle w:val="Heading2"/>
      </w:pPr>
      <w:r>
        <w:t>9. Inhalt der Studie</w:t>
      </w:r>
    </w:p>
    <w:p>
      <w:r>
        <w:t>Die Studie basiert auf den zum Zeitpunkt ihrer Erstellung verfügbaren Informationen, Daten, Analysen und Einschätzungen.</w:t>
      </w:r>
    </w:p>
    <w:p>
      <w:r>
        <w:t>Sie dient der Information über wirtschaftliche, technologische und strukturelle Entwicklungen in der Hospitality-Branche. Zukunftsbezogene Aussagen, Szenarien und Einschätzungen stellen keine Garantie für tatsächlich eintretende Entwicklungen dar.</w:t>
      </w:r>
    </w:p>
    <w:p>
      <w:r>
        <w:t>Die Studie stellt insbesondere keine individuelle Investitions-, Rechts-, Steuer- oder Finanzierungsberatung dar. Entscheidungen auf Grundlage der Studie sind vom jeweiligen Nutzer unter Berücksichtigung seiner individuellen Situation zu treffen.</w:t>
      </w:r>
    </w:p>
    <w:p>
      <w:pPr>
        <w:pStyle w:val="Heading2"/>
      </w:pPr>
      <w:r>
        <w:t>10. Mängelrechte und Haftung</w:t>
      </w:r>
    </w:p>
    <w:p>
      <w:r>
        <w:t>Für Verbraucher gelten die gesetzlichen Mängelrechte für digitale Produkte.</w:t>
      </w:r>
    </w:p>
    <w:p>
      <w:r>
        <w:t>DICON haftet unbeschränkt für Schäden aus der Verletzung des Lebens, des Körpers oder der Gesundheit sowie für Schäden, die auf Vorsatz oder grober Fahrlässigkeit von DICON, seinen gesetzlichen Vertretern oder Erfüllungsgehilfen beruhen.</w:t>
      </w:r>
    </w:p>
    <w:p>
      <w:r>
        <w:t>Bei leicht fahrlässiger Verletzung wesentlicher Vertragspflichten ist die Haftung von DICON auf den vertragstypischen, vorhersehbaren Schaden begrenzt, soweit gesetzlich zulässig.</w:t>
      </w:r>
    </w:p>
    <w:p>
      <w:r>
        <w:t>Die gesetzlichen zwingenden Haftungsvorschriften bleiben unberührt.</w:t>
      </w:r>
    </w:p>
    <w:p>
      <w:pPr>
        <w:pStyle w:val="Heading2"/>
      </w:pPr>
      <w:r>
        <w:t>11. Widerrufsrecht für Verbraucher</w:t>
      </w:r>
    </w:p>
    <w:p>
      <w:r>
        <w:t>Verbrauchern steht grundsätzlich das gesetzliche Widerrufsrecht zu.</w:t>
      </w:r>
    </w:p>
    <w:p>
      <w:r>
        <w:t>Einzelheiten ergeben sich aus der gesonderten Widerrufsbelehrung.</w:t>
      </w:r>
    </w:p>
    <w:p>
      <w:r>
        <w:t>Bei Verträgen über digitale Inhalte, die nicht auf einem körperlichen Datenträger bereitgestellt werden, kann das Widerrufsrecht unter den gesetzlichen Voraussetzungen vorzeitig erlöschen.</w:t>
      </w:r>
    </w:p>
    <w:p>
      <w:pPr>
        <w:pStyle w:val="Heading2"/>
      </w:pPr>
      <w:r>
        <w:t>12. Anwendbares Recht</w:t>
      </w:r>
    </w:p>
    <w:p>
      <w:r>
        <w:t>Es gilt das Recht der Bundesrepublik Deutschland unter Ausschluss des UN-Kaufrechts.</w:t>
      </w:r>
    </w:p>
    <w:p>
      <w:r>
        <w:t>Bei Verbrauchern gilt diese Rechtswahl nur insoweit, als ihnen dadurch nicht der Schutz zwingender Bestimmungen des Staates entzogen wird, in dem sie ihren gewöhnlichen Aufenthalt haben.</w:t>
      </w:r>
    </w:p>
    <w:p>
      <w:pPr>
        <w:pStyle w:val="Heading2"/>
      </w:pPr>
      <w:r>
        <w:t>13. Gerichtsstand</w:t>
      </w:r>
    </w:p>
    <w:p>
      <w:r>
        <w:t>Ist der Kunde Kaufmann, eine juristische Person des öffentlichen Rechts oder ein öffentlich-rechtliches Sondervermögen, ist – soweit gesetzlich zulässig – der Sitz von DICON Gerichtsstand für alle Streitigkeiten aus dem Vertragsverhältnis.</w:t>
      </w:r>
    </w:p>
    <w:p>
      <w:r>
        <w:t>Für Verbraucher gelten die gesetzlichen Gerichtsstandsregelungen.</w:t>
      </w:r>
    </w:p>
    <w:p>
      <w:pPr>
        <w:pStyle w:val="Heading2"/>
      </w:pPr>
      <w:r>
        <w:t>14. Schlussbestimmungen</w:t>
      </w:r>
    </w:p>
    <w:p>
      <w:r>
        <w:t>Individuelle Vereinbarungen zwischen DICON und dem Kunden haben Vorrang vor diesen Allgemeinen Geschäfts- und Lizenzbedingungen.</w:t>
      </w:r>
    </w:p>
    <w:p>
      <w:r>
        <w:t>Sollten einzelne Bestimmungen dieser Bedingungen unwirksam sein oder werden, bleiben die übrigen Bestimmungen hiervon unberührt.</w:t>
      </w:r>
    </w:p>
    <w:p>
      <w:r>
        <w:t>Stand: September 2026</w:t>
      </w:r>
    </w:p>
    <w:p>
      <w:r>
        <w:br w:type="page"/>
      </w:r>
    </w:p>
    <w:p>
      <w:pPr>
        <w:pStyle w:val="Heading1"/>
      </w:pPr>
      <w:r>
        <w:t>Widerrufsbelehrung für Verbraucher</w:t>
      </w:r>
    </w:p>
    <w:p>
      <w:pPr>
        <w:pStyle w:val="Heading2"/>
      </w:pPr>
      <w:r>
        <w:t>Widerrufsrecht</w:t>
      </w:r>
    </w:p>
    <w:p>
      <w:r>
        <w:t>Sie haben das Recht, binnen vierzehn Tagen ohne Angabe von Gründen diesen Vertrag zu widerrufen.</w:t>
      </w:r>
    </w:p>
    <w:p>
      <w:r>
        <w:t>Die Widerrufsfrist beträgt vierzehn Tage ab dem Tag des Vertragsabschlusses.</w:t>
      </w:r>
    </w:p>
    <w:p>
      <w:r>
        <w:t>Um Ihr Widerrufsrecht auszuüben, müssen Sie uns</w:t>
      </w:r>
    </w:p>
    <w:p>
      <w:r>
        <w:t>DICON Marketing- und Beratungsgesellschaft mbH</w:t>
        <w:br/>
        <w:t>[Geschäftsanschrift]</w:t>
        <w:br/>
        <w:t>E-Mail: [●]</w:t>
        <w:br/>
        <w:t>Telefon: [●]</w:t>
      </w:r>
    </w:p>
    <w:p>
      <w:r>
        <w:t>mittels einer eindeutigen Erklärung, beispielsweise durch einen mit der Post versandten Brief oder eine E-Mail, über Ihren Entschluss informieren, diesen Vertrag zu widerrufen.</w:t>
      </w:r>
    </w:p>
    <w:p>
      <w:r>
        <w:t>Sie können hierfür das unten aufgeführte Muster-Widerrufsformular verwenden; dies ist jedoch nicht vorgeschrieben.</w:t>
      </w:r>
    </w:p>
    <w:p>
      <w:r>
        <w:t>Sie können Ihr Widerrufsrecht außerdem über die auf unserer Website bereitgestellte Funktion „Vertrag widerrufen“ elektronisch ausüben. Wenn Sie diese Funktion nutzen, übermitteln wir Ihnen unverzüglich auf einem dauerhaften Datenträger, beispielsweise per E-Mail, eine Bestätigung über den Eingang Ihrer Widerrufserklärung mit Informationen zu deren Inhalt sowie Datum und Uhrzeit des Eingangs.</w:t>
      </w:r>
    </w:p>
    <w:p>
      <w:r>
        <w:t>Zur Wahrung der Widerrufsfrist reicht es aus, dass Sie die Mitteilung über die Ausübung Ihres Widerrufsrechts vor Ablauf der Widerrufsfrist absenden.</w:t>
      </w:r>
    </w:p>
    <w:p>
      <w:pPr>
        <w:pStyle w:val="Heading2"/>
      </w:pPr>
      <w:r>
        <w:t>Folgen des Widerrufs</w:t>
      </w:r>
    </w:p>
    <w:p>
      <w:r>
        <w:t>Wenn Sie diesen Vertrag widerrufen, haben wir Ihnen alle Zahlungen, die wir von Ihnen erhalten haben, unverzüglich und spätestens binnen vierzehn Tagen ab dem Tag zurückzuzahlen, an dem die Mitteilung über Ihren Widerruf bei uns eingegangen ist.</w:t>
      </w:r>
    </w:p>
    <w:p>
      <w:r>
        <w:t>Für diese Rückzahlung verwenden wir grundsätzlich dasselbe Zahlungsmittel, das Sie bei der ursprünglichen Transaktion eingesetzt haben, sofern mit Ihnen nicht ausdrücklich etwas anderes vereinbart wurde.</w:t>
      </w:r>
    </w:p>
    <w:p>
      <w:r>
        <w:t>Für die Rückzahlung werden Ihnen keine Entgelte berechnet.</w:t>
      </w:r>
    </w:p>
    <w:p>
      <w:pPr>
        <w:pStyle w:val="Heading2"/>
      </w:pPr>
      <w:r>
        <w:t>Vorzeitiges Erlöschen des Widerrufsrechts bei digitalen Inhalten</w:t>
      </w:r>
    </w:p>
    <w:p>
      <w:r>
        <w:t>Bei einem Vertrag über die Bereitstellung digitaler Inhalte, die sich nicht auf einem körperlichen Datenträger befinden, erlischt das Widerrufsrecht vorzeitig, wenn DICON mit der Vertragserfüllung begonnen hat, nachdem Sie</w:t>
      </w:r>
    </w:p>
    <w:p>
      <w:r>
        <w:t>1. ausdrücklich zugestimmt haben, dass DICON mit der Vertragserfüllung vor Ablauf der Widerrufsfrist beginnt,</w:t>
      </w:r>
    </w:p>
    <w:p>
      <w:r>
        <w:t>2. Ihre Kenntnis davon bestätigt haben, dass Sie durch Ihre Zustimmung mit Beginn der Vertragserfüllung Ihr Widerrufsrecht verlieren, und</w:t>
      </w:r>
    </w:p>
    <w:p>
      <w:r>
        <w:t>3. Ihnen eine Vertragsbestätigung entsprechend den gesetzlichen Anforderungen zur Verfügung gestellt wurde.</w:t>
      </w:r>
    </w:p>
    <w:p>
      <w:pPr>
        <w:pStyle w:val="Heading2"/>
      </w:pPr>
      <w:r>
        <w:t>Muster-Widerrufsformular</w:t>
      </w:r>
    </w:p>
    <w:p>
      <w:r>
        <w:t>Wenn Sie den Vertrag widerrufen möchten, können Sie dieses Formular ausfüllen und an uns übermitteln:</w:t>
      </w:r>
    </w:p>
    <w:p>
      <w:r>
        <w:t>An</w:t>
        <w:br/>
        <w:br/>
        <w:t>DICON Marketing- und Beratungsgesellschaft mbH</w:t>
        <w:br/>
        <w:t>[Geschäftsanschrift]</w:t>
        <w:br/>
        <w:t>E-Mail: [●]</w:t>
        <w:br/>
        <w:br/>
        <w:t>Hiermit widerrufe(n) ich/wir den von mir/uns abgeschlossenen Vertrag über die Bereitstellung der digitalen Studie „Hospitality 2035 – Wie sich die wirtschaftliche Logik der Hotellerie verändert“.</w:t>
        <w:br/>
        <w:br/>
        <w:t>Bestellt am: ____________________</w:t>
        <w:br/>
        <w:br/>
        <w:t>Name des/der Verbraucher(s): ____________________</w:t>
        <w:br/>
        <w:br/>
        <w:t>Anschrift des/der Verbraucher(s): ____________________</w:t>
        <w:br/>
        <w:br/>
        <w:t>E-Mail-Adresse: ____________________</w:t>
        <w:br/>
        <w:br/>
        <w:t>Datum: ____________________</w:t>
        <w:br/>
        <w:br/>
        <w:t>Unterschrift des/der Verbraucher(s): ____________________</w:t>
        <w:br/>
        <w:t>(nur bei Mitteilung auf Papier)</w:t>
      </w:r>
    </w:p>
    <w:p>
      <w:r>
        <w:br w:type="page"/>
      </w:r>
    </w:p>
    <w:p>
      <w:pPr>
        <w:pStyle w:val="Heading1"/>
      </w:pPr>
      <w:r>
        <w:t>Technische Vorgaben für Checkout und Widerrufsrecht</w:t>
      </w:r>
    </w:p>
    <w:p>
      <w:r>
        <w:t>Diese Hinweise sind als Umsetzungsanforderungen für die Webdesignerin gedacht.</w:t>
      </w:r>
    </w:p>
    <w:p>
      <w:pPr>
        <w:pStyle w:val="Heading2"/>
      </w:pPr>
      <w:r>
        <w:t>1. Zustimmung zum sofortigen Beginn der Bereitstellung</w:t>
      </w:r>
    </w:p>
    <w:p>
      <w:r>
        <w:t>Bitte unmittelbar vor Abschluss des Kaufs der Single License eine nicht vorangekreuzte Checkbox vorsehen.</w:t>
      </w:r>
    </w:p>
    <w:p>
      <w:r>
        <w:rPr>
          <w:b/>
        </w:rPr>
        <w:t>Vorgeschlagener Checkbox-Text:</w:t>
      </w:r>
    </w:p>
    <w:p>
      <w:r>
        <w:rPr>
          <w:i/>
        </w:rPr>
        <w:t>„Ich stimme ausdrücklich zu, dass DICON vor Ablauf der 14-tägigen Widerrufsfrist mit der Bereitstellung der digitalen Studie beginnt. Mir ist bekannt, dass ich mit Beginn der Bereitstellung der Studie mein Widerrufsrecht verliere.“</w:t>
      </w:r>
    </w:p>
    <w:p>
      <w:r>
        <w:t>Der Download bzw. die elektronische Bereitstellung der Studie darf erst erfolgen, nachdem diese Zustimmung erteilt wurde.</w:t>
      </w:r>
    </w:p>
    <w:p>
      <w:r>
        <w:t>Die Zustimmung und deren Zeitpunkt sollten technisch dokumentiert werden.</w:t>
      </w:r>
    </w:p>
    <w:p>
      <w:r>
        <w:t>In der anschließend per E-Mail versandten Bestell-/Vertragsbestätigung muss ebenfalls dokumentiert werden, dass der Käufer dem sofortigen Beginn der Vertragserfüllung ausdrücklich zugestimmt und seine Kenntnis vom Erlöschen des Widerrufsrechts bestätigt hat.</w:t>
      </w:r>
    </w:p>
    <w:p>
      <w:pPr>
        <w:pStyle w:val="Heading2"/>
      </w:pPr>
      <w:r>
        <w:t>2. Bestellschaltfläche</w:t>
      </w:r>
    </w:p>
    <w:p>
      <w:r>
        <w:t>Die Bestellschaltfläche muss eindeutig auf die Zahlungspflicht hinweisen, beispielsweise:</w:t>
      </w:r>
    </w:p>
    <w:p>
      <w:r>
        <w:rPr>
          <w:b/>
        </w:rPr>
        <w:t>„Zahlungspflichtig bestellen – 249,00 €“</w:t>
      </w:r>
    </w:p>
    <w:p>
      <w:pPr>
        <w:pStyle w:val="Heading2"/>
      </w:pPr>
      <w:r>
        <w:t>3. Elektronische Widerrufsfunktion</w:t>
      </w:r>
    </w:p>
    <w:p>
      <w:r>
        <w:t>Zusätzlich ist auf der Website für die Fälle, in denen ein Widerrufsrecht besteht, eine während der laufenden Widerrufsfrist leicht zugängliche und hervorgehoben platzierte elektronische Widerrufsfunktion vorzusehen.</w:t>
      </w:r>
    </w:p>
    <w:p>
      <w:r>
        <w:t>Vorgeschlagene Bezeichnung: „Vertrag widerrufen“</w:t>
      </w:r>
    </w:p>
    <w:p>
      <w:r>
        <w:t>Nach Absenden des Widerrufs sollte automatisch eine Eingangsbestätigung mit Inhalt, Datum und Uhrzeit des Widerrufs per E-Mail versandt werden.</w:t>
      </w:r>
    </w:p>
    <w:p>
      <w:pPr>
        <w:pStyle w:val="Heading2"/>
      </w:pPr>
      <w:r>
        <w:t>4. Verlinkung im Checkout</w:t>
      </w:r>
    </w:p>
    <w:p>
      <w:r>
        <w:t>Vor Abschluss der Bestellung sollten die AGB &amp; Lizenzbedingungen sowie die Widerrufsbelehrung unmittelbar erreichbar/verlinkt sein. Die für den Vertrag erforderlichen Informationen sollten dem Käufer außerdem mit der Bestell-/Vertragsbestätigung auf einem dauerhaften Datenträger zur Verfügung gestellt werden.</w:t>
      </w:r>
    </w:p>
    <w:p>
      <w:pPr>
        <w:pStyle w:val="Heading2"/>
      </w:pPr>
      <w:r>
        <w:t>5. Noch zu ergänzende Unternehmensangaben</w:t>
      </w:r>
    </w:p>
    <w:p>
      <w:pPr>
        <w:pStyle w:val="ListBullet"/>
      </w:pPr>
      <w:r>
        <w:t>vollständige Geschäftsanschrift</w:t>
      </w:r>
    </w:p>
    <w:p>
      <w:pPr>
        <w:pStyle w:val="ListBullet"/>
      </w:pPr>
      <w:r>
        <w:t>E-Mail-Adresse</w:t>
      </w:r>
    </w:p>
    <w:p>
      <w:pPr>
        <w:pStyle w:val="ListBullet"/>
      </w:pPr>
      <w:r>
        <w:t>Telefonnummer</w:t>
      </w:r>
    </w:p>
    <w:p>
      <w:pPr>
        <w:pStyle w:val="ListBullet"/>
      </w:pPr>
      <w:r>
        <w:t>Registergericht</w:t>
      </w:r>
    </w:p>
    <w:p>
      <w:pPr>
        <w:pStyle w:val="ListBullet"/>
      </w:pPr>
      <w:r>
        <w:t>HRB-Nummer</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DICON · Hospitality 2035 · Rechtstexte / Arbeitsfassung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