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Privacy Posture Analyzer</w:t>
      </w:r>
    </w:p>
    <w:p>
      <w:pPr>
        <w:spacing w:after="80"/>
      </w:pPr>
      <w:r>
        <w:rPr>
          <w:rFonts w:ascii="Arial" w:cs="Arial" w:eastAsia="Arial" w:hAnsi="Arial"/>
          <w:color w:val="2E5FA3"/>
          <w:sz w:val="28"/>
          <w:szCs w:val="28"/>
        </w:rPr>
        <w:t xml:space="preserve">Theoretical Summary — Module 2: SDK &amp; Tracker Detection</w:t>
      </w:r>
    </w:p>
    <w:p>
      <w:pPr>
        <w:pBdr>
          <w:bottom w:val="single" w:color="2E5FA3" w:sz="6" w:space="1"/>
        </w:pBdr>
        <w:spacing w:after="320"/>
      </w:pPr>
      <w:r>
        <w:rPr>
          <w:rFonts w:ascii="Arial" w:cs="Arial" w:eastAsia="Arial" w:hAnsi="Arial"/>
          <w:color w:val="666666"/>
          <w:sz w:val="22"/>
          <w:szCs w:val="22"/>
        </w:rPr>
        <w:t xml:space="preserve">Member 2  |  Academic Report  |  Chapters 2 &amp; 12</w:t>
      </w:r>
    </w:p>
    <w:p>
      <w:pPr>
        <w:pStyle w:val="Heading1"/>
        <w:spacing w:after="160" w:before="320"/>
      </w:pPr>
      <w:r>
        <w:rPr>
          <w:rFonts w:ascii="Arial" w:cs="Arial" w:eastAsia="Arial" w:hAnsi="Arial"/>
          <w:b/>
          <w:bCs/>
          <w:sz w:val="32"/>
          <w:szCs w:val="32"/>
        </w:rPr>
        <w:t xml:space="preserve">Chapter 2 — GDPR, CCPA, and the Legal Dimensions of SDK Tracking</w:t>
      </w:r>
    </w:p>
    <w:p>
      <w:pPr>
        <w:pStyle w:val="Heading2"/>
        <w:spacing w:after="120" w:before="240"/>
      </w:pPr>
      <w:r>
        <w:rPr>
          <w:rFonts w:ascii="Arial" w:cs="Arial" w:eastAsia="Arial" w:hAnsi="Arial"/>
          <w:b/>
          <w:bCs/>
          <w:sz w:val="28"/>
          <w:szCs w:val="28"/>
        </w:rPr>
        <w:t xml:space="preserve">2.1  Overview</w:t>
      </w:r>
    </w:p>
    <w:p>
      <w:pPr>
        <w:spacing w:after="160"/>
      </w:pPr>
      <w:r>
        <w:rPr>
          <w:rFonts w:ascii="Arial" w:cs="Arial" w:eastAsia="Arial" w:hAnsi="Arial"/>
          <w:sz w:val="24"/>
          <w:szCs w:val="24"/>
        </w:rPr>
        <w:t xml:space="preserve">Third-party SDKs embedded in Android applications are not passive code libraries. They are active data processors that collect, transmit, and aggregate personal data on behalf of — and often beyond the intent of — the host application. This reality places SDK embedding squarely within the regulatory perimeters of the General Data Protection Regulation (GDPR, EU 2016/679) and the California Consumer Privacy Act (CCPA, Cal. Civ. Code § 1798.100 et seq.). The SDK/Tracker Detection module of the Privacy Posture Analyzer is designed to surface these embedded processors automatically, enabling developers and auditors to identify potential compliance obligations before an application reaches production.</w:t>
      </w:r>
    </w:p>
    <w:p>
      <w:pPr>
        <w:pStyle w:val="Heading2"/>
        <w:spacing w:after="120" w:before="240"/>
      </w:pPr>
      <w:r>
        <w:rPr>
          <w:rFonts w:ascii="Arial" w:cs="Arial" w:eastAsia="Arial" w:hAnsi="Arial"/>
          <w:b/>
          <w:bCs/>
          <w:sz w:val="28"/>
          <w:szCs w:val="28"/>
        </w:rPr>
        <w:t xml:space="preserve">2.2  GDPR Lawful Basis by SDK Category</w:t>
      </w:r>
    </w:p>
    <w:p>
      <w:pPr>
        <w:spacing w:after="160"/>
      </w:pPr>
      <w:r>
        <w:rPr>
          <w:rFonts w:ascii="Arial" w:cs="Arial" w:eastAsia="Arial" w:hAnsi="Arial"/>
          <w:sz w:val="24"/>
          <w:szCs w:val="24"/>
        </w:rPr>
        <w:t xml:space="preserve">Under GDPR Article 6, every processing activity must rest on a valid lawful basis. The five SDK categories detected by this module each raise distinct legal questions:</w:t>
      </w:r>
    </w:p>
    <w:p>
      <w:pPr>
        <w:spacing w:after="80" w:before="180"/>
      </w:pPr>
      <w:r>
        <w:rPr>
          <w:rFonts w:ascii="Arial" w:cs="Arial" w:eastAsia="Arial" w:hAnsi="Arial"/>
          <w:b/>
          <w:bCs/>
          <w:sz w:val="24"/>
          <w:szCs w:val="24"/>
        </w:rPr>
        <w:t xml:space="preserve">Advertising SDKs (Meta Audience Network, AdMob, AppLovin, IronSource, MoPub, Chartboost, Vungle, Unity Ads)</w:t>
      </w:r>
    </w:p>
    <w:p>
      <w:pPr>
        <w:spacing w:after="160"/>
      </w:pPr>
      <w:r>
        <w:rPr>
          <w:rFonts w:ascii="Arial" w:cs="Arial" w:eastAsia="Arial" w:hAnsi="Arial"/>
          <w:sz w:val="24"/>
          <w:szCs w:val="24"/>
        </w:rPr>
        <w:t xml:space="preserve">Advertising SDKs profile users across applications and devices using persistent identifiers such as the Google Advertising ID (GAID) and, historically, the IDFA. This cross-context profiling cannot rely on the legitimate interests basis (Article 6(1)(f)) under most supervisory authority guidance, because the fundamental rights of data subjects override the commercial interest of the tracker. Consent (Article 6(1)(a)) is therefore the only viable lawful basis, and that consent must be freely given, specific, informed, and unambiguous. These SDKs earn the highest risk scores in our database (70–85) precisely because consent is frequently absent or inadequately obtained.</w:t>
      </w:r>
    </w:p>
    <w:p>
      <w:pPr>
        <w:spacing w:after="80" w:before="180"/>
      </w:pPr>
      <w:r>
        <w:rPr>
          <w:rFonts w:ascii="Arial" w:cs="Arial" w:eastAsia="Arial" w:hAnsi="Arial"/>
          <w:b/>
          <w:bCs/>
          <w:sz w:val="24"/>
          <w:szCs w:val="24"/>
        </w:rPr>
        <w:t xml:space="preserve">Analytics SDKs (Firebase, Adjust, AppsFlyer, Mixpanel, Amplitude, Segment, Branch, OneSignal)</w:t>
      </w:r>
    </w:p>
    <w:p>
      <w:pPr>
        <w:spacing w:after="160"/>
      </w:pPr>
      <w:r>
        <w:rPr>
          <w:rFonts w:ascii="Arial" w:cs="Arial" w:eastAsia="Arial" w:hAnsi="Arial"/>
          <w:sz w:val="24"/>
          <w:szCs w:val="24"/>
        </w:rPr>
        <w:t xml:space="preserve">Analytics SDKs can in principle rely on legitimate interests where data collection is proportionate and users are given a meaningful opt-out. However, attribution SDKs such as Adjust and AppsFlyer construct device fingerprints — combining IP address, screen resolution, language settings, and installed app lists — which constitute derived personal data under GDPR Article 4(1). Fingerprinting without consent is incompatible with the ePrivacy Directive and is increasingly the target of enforcement actions across the EU.</w:t>
      </w:r>
    </w:p>
    <w:p>
      <w:pPr>
        <w:spacing w:after="80" w:before="180"/>
      </w:pPr>
      <w:r>
        <w:rPr>
          <w:rFonts w:ascii="Arial" w:cs="Arial" w:eastAsia="Arial" w:hAnsi="Arial"/>
          <w:b/>
          <w:bCs/>
          <w:sz w:val="24"/>
          <w:szCs w:val="24"/>
        </w:rPr>
        <w:t xml:space="preserve">Crash Reporting SDKs (Crashlytics)</w:t>
      </w:r>
    </w:p>
    <w:p>
      <w:pPr>
        <w:spacing w:after="160"/>
      </w:pPr>
      <w:r>
        <w:rPr>
          <w:rFonts w:ascii="Arial" w:cs="Arial" w:eastAsia="Arial" w:hAnsi="Arial"/>
          <w:sz w:val="24"/>
          <w:szCs w:val="24"/>
        </w:rPr>
        <w:t xml:space="preserve">Crash reporting SDKs collect stack traces and device state at the moment of failure. This data is generally pseudonymous and limited in scope, supporting a legitimate interests basis more readily. Nevertheless, if crash reports inadvertently capture user-generated content or authentication tokens visible in memory, the data can become sensitive. Our module assigns Crashlytics a low risk score of 30, reflecting its narrow, technically necessary purpose.</w:t>
      </w:r>
    </w:p>
    <w:p>
      <w:pPr>
        <w:spacing w:after="80" w:before="180"/>
      </w:pPr>
      <w:r>
        <w:rPr>
          <w:rFonts w:ascii="Arial" w:cs="Arial" w:eastAsia="Arial" w:hAnsi="Arial"/>
          <w:b/>
          <w:bCs/>
          <w:sz w:val="24"/>
          <w:szCs w:val="24"/>
        </w:rPr>
        <w:t xml:space="preserve">Social SDKs (Facebook SDK, Twitter SDK)</w:t>
      </w:r>
    </w:p>
    <w:p>
      <w:pPr>
        <w:spacing w:after="160"/>
      </w:pPr>
      <w:r>
        <w:rPr>
          <w:rFonts w:ascii="Arial" w:cs="Arial" w:eastAsia="Arial" w:hAnsi="Arial"/>
          <w:sz w:val="24"/>
          <w:szCs w:val="24"/>
        </w:rPr>
        <w:t xml:space="preserve">Social SDKs link in-app behaviour to an external social identity graph. This linkage enables highly granular profiling of individuals across unrelated applications, raising concerns under GDPR Article 9 when inferred attributes touch on special categories such as political opinion, religion, or health. Consent is mandatory; legitimate interests cannot override the fundamental right to data protection when such sensitive inferences are possible.</w:t>
      </w:r>
    </w:p>
    <w:p>
      <w:pPr>
        <w:spacing w:after="80" w:before="180"/>
      </w:pPr>
      <w:r>
        <w:rPr>
          <w:rFonts w:ascii="Arial" w:cs="Arial" w:eastAsia="Arial" w:hAnsi="Arial"/>
          <w:b/>
          <w:bCs/>
          <w:sz w:val="24"/>
          <w:szCs w:val="24"/>
        </w:rPr>
        <w:t xml:space="preserve">Payment SDKs (Stripe)</w:t>
      </w:r>
    </w:p>
    <w:p>
      <w:pPr>
        <w:spacing w:after="160"/>
      </w:pPr>
      <w:r>
        <w:rPr>
          <w:rFonts w:ascii="Arial" w:cs="Arial" w:eastAsia="Arial" w:hAnsi="Arial"/>
          <w:sz w:val="24"/>
          <w:szCs w:val="24"/>
        </w:rPr>
        <w:t xml:space="preserve">Payment SDKs process financial data, which is not a special category under GDPR but is sensitive by nature and regulated under PSD2 in Europe. Stripe tokenises card data, minimising direct PII exposure to the host application. The lawful basis is typically contract performance (Article 6(1)(b)). Our module assigns Stripe a moderate risk score of 55, acknowledging that while data minimisation is practiced, billing addresses and transaction identifiers remain personal data.</w:t>
      </w:r>
    </w:p>
    <w:p>
      <w:pPr>
        <w:pStyle w:val="Heading2"/>
        <w:spacing w:after="120" w:before="240"/>
      </w:pPr>
      <w:r>
        <w:rPr>
          <w:rFonts w:ascii="Arial" w:cs="Arial" w:eastAsia="Arial" w:hAnsi="Arial"/>
          <w:b/>
          <w:bCs/>
          <w:sz w:val="28"/>
          <w:szCs w:val="28"/>
        </w:rPr>
        <w:t xml:space="preserve">2.3  Data Processor Obligations — Article 28 GDPR</w:t>
      </w:r>
    </w:p>
    <w:p>
      <w:pPr>
        <w:spacing w:after="160"/>
      </w:pPr>
      <w:r>
        <w:rPr>
          <w:rFonts w:ascii="Arial" w:cs="Arial" w:eastAsia="Arial" w:hAnsi="Arial"/>
          <w:sz w:val="24"/>
          <w:szCs w:val="24"/>
        </w:rPr>
        <w:t xml:space="preserve">When a mobile application integrates a third-party SDK, the SDK vendor becomes a data processor under GDPR Article 28. The application developer (the data controller) is legally required to enter into a Data Processing Agreement (DPA) with each SDK vendor, ensuring that the processor: processes data only on documented instructions from the controller; implements appropriate technical and organisational security measures; does not engage sub-processors without prior authorisation; assists the controller in fulfilling data subject rights requests; and deletes or returns all personal data upon termination of the service.</w:t>
      </w:r>
    </w:p>
    <w:p>
      <w:pPr>
        <w:spacing w:after="160"/>
      </w:pPr>
      <w:r>
        <w:rPr>
          <w:rFonts w:ascii="Arial" w:cs="Arial" w:eastAsia="Arial" w:hAnsi="Arial"/>
          <w:sz w:val="24"/>
          <w:szCs w:val="24"/>
        </w:rPr>
        <w:t xml:space="preserve">In practice, most SDK vendors publish standard DPAs — Meta, Google, Adjust, and Stripe all provide such agreements. However, developers who embed SDKs without reviewing these documents, or without configuring the SDK to operate within the scope of their own privacy policy, are in breach of Article 28 regardless of whether a DPA exists on paper. The Privacy Posture Analyzer makes these obligations visible by enumerating which processors are present in the APK before deployment.</w:t>
      </w:r>
    </w:p>
    <w:p>
      <w:pPr>
        <w:pStyle w:val="Heading2"/>
        <w:spacing w:after="120" w:before="240"/>
      </w:pPr>
      <w:r>
        <w:rPr>
          <w:rFonts w:ascii="Arial" w:cs="Arial" w:eastAsia="Arial" w:hAnsi="Arial"/>
          <w:b/>
          <w:bCs/>
          <w:sz w:val="28"/>
          <w:szCs w:val="28"/>
        </w:rPr>
        <w:t xml:space="preserve">2.4  Cross-Border Data Transfers</w:t>
      </w:r>
    </w:p>
    <w:p>
      <w:pPr>
        <w:spacing w:after="160"/>
      </w:pPr>
      <w:r>
        <w:rPr>
          <w:rFonts w:ascii="Arial" w:cs="Arial" w:eastAsia="Arial" w:hAnsi="Arial"/>
          <w:sz w:val="24"/>
          <w:szCs w:val="24"/>
        </w:rPr>
        <w:t xml:space="preserve">The majority of SDKs detected by this module route data to servers located in the United States. Post-Schrems II (C-311/18, Court of Justice of the EU, 2020), transfers to the US require either reliance on the EU-US Data Privacy Framework (DPF), Standard Contractual Clauses (SCCs) accompanied by a Transfer Impact Assessment (TIA), or Binding Corporate Rules (BCRs). Meta, Google, Stripe, and most major vendors have self-certified under the DPF or publish SCCs. However, lesser-known advertising networks may lack adequate transfer mechanisms, exposing developers to enforcement risk under GDPR Chapter V.</w:t>
      </w:r>
    </w:p>
    <w:p>
      <w:pPr>
        <w:spacing w:after="160"/>
      </w:pPr>
      <w:r>
        <w:rPr>
          <w:rFonts w:ascii="Arial" w:cs="Arial" w:eastAsia="Arial" w:hAnsi="Arial"/>
          <w:sz w:val="24"/>
          <w:szCs w:val="24"/>
        </w:rPr>
        <w:t xml:space="preserve">Under CCPA, cross-border transfer obligations are less prescriptive, but the sale or sharing of personal data to third-party advertising SDKs triggers opt-out rights under Section 1798.120. Applications targeting California residents that embed advertising SDKs without a Do Not Sell or Share My Personal Information mechanism are in prima facie violation of CCPA.</w:t>
      </w:r>
    </w:p>
    <w:p>
      <w:r>
        <w:br w:type="page"/>
      </w:r>
    </w:p>
    <w:p>
      <w:pPr>
        <w:pStyle w:val="Heading1"/>
        <w:spacing w:after="160" w:before="320"/>
      </w:pPr>
      <w:r>
        <w:rPr>
          <w:rFonts w:ascii="Arial" w:cs="Arial" w:eastAsia="Arial" w:hAnsi="Arial"/>
          <w:b/>
          <w:bCs/>
          <w:sz w:val="32"/>
          <w:szCs w:val="32"/>
        </w:rPr>
        <w:t xml:space="preserve">Chapter 12 — SDK Embedding, Fingerprinting, and Static Analysis of APKs</w:t>
      </w:r>
    </w:p>
    <w:p>
      <w:pPr>
        <w:pStyle w:val="Heading2"/>
        <w:spacing w:after="120" w:before="240"/>
      </w:pPr>
      <w:r>
        <w:rPr>
          <w:rFonts w:ascii="Arial" w:cs="Arial" w:eastAsia="Arial" w:hAnsi="Arial"/>
          <w:b/>
          <w:bCs/>
          <w:sz w:val="28"/>
          <w:szCs w:val="28"/>
        </w:rPr>
        <w:t xml:space="preserve">12.1  How SDKs Hide Inside APKs</w:t>
      </w:r>
    </w:p>
    <w:p>
      <w:pPr>
        <w:spacing w:after="160"/>
      </w:pPr>
      <w:r>
        <w:rPr>
          <w:rFonts w:ascii="Arial" w:cs="Arial" w:eastAsia="Arial" w:hAnsi="Arial"/>
          <w:sz w:val="24"/>
          <w:szCs w:val="24"/>
        </w:rPr>
        <w:t xml:space="preserve">An Android APK (Android Package Kit) is structurally a ZIP archive conforming to the JAR format specification. Its primary executable payload is one or more classes.dex files — compiled Dalvik bytecode. Third-party SDKs are compiled into the application's DEX bytecode at build time by the Gradle build system, merging their class hierarchies with the host application's own classes. The result is that, at the binary level, SDK code is indistinguishable from first-party application code unless the analyst knows the original package namespace of the SDK.</w:t>
      </w:r>
    </w:p>
    <w:p>
      <w:pPr>
        <w:spacing w:after="160"/>
      </w:pPr>
      <w:r>
        <w:rPr>
          <w:rFonts w:ascii="Arial" w:cs="Arial" w:eastAsia="Arial" w:hAnsi="Arial"/>
          <w:sz w:val="24"/>
          <w:szCs w:val="24"/>
        </w:rPr>
        <w:t xml:space="preserve">SDK vendors document their integration using Java or Kotlin package names following the reverse-domain convention — for example, com.google.firebase.analytics or com.appsflyer. These package names are preserved as directory structures inside the DEX file and, more accessibly for static analysis, as path components within the APK's internal ZIP entries. A file at the path com/google/firebase/analytics/FirebaseAnalytics.class is unambiguous evidence that the Firebase Analytics SDK is present, even without executing the application.</w:t>
      </w:r>
    </w:p>
    <w:p>
      <w:pPr>
        <w:spacing w:after="160"/>
      </w:pPr>
      <w:r>
        <w:rPr>
          <w:rFonts w:ascii="Arial" w:cs="Arial" w:eastAsia="Arial" w:hAnsi="Arial"/>
          <w:sz w:val="24"/>
          <w:szCs w:val="24"/>
        </w:rPr>
        <w:t xml:space="preserve">Some SDKs attempt light obfuscation via ProGuard or R8, which renames class and method identifiers to short, meaningless sequences (a.b.c.d). However, because ProGuard only renames identifiers and not the structural hierarchy, and because many SDKs ship native libraries (.so files) or resource files with vendor-specific naming that survives obfuscation, package-name scanning remains effective for the vast majority of commercially distributed SDKs.</w:t>
      </w:r>
    </w:p>
    <w:p>
      <w:pPr>
        <w:pStyle w:val="Heading2"/>
        <w:spacing w:after="120" w:before="240"/>
      </w:pPr>
      <w:r>
        <w:rPr>
          <w:rFonts w:ascii="Arial" w:cs="Arial" w:eastAsia="Arial" w:hAnsi="Arial"/>
          <w:b/>
          <w:bCs/>
          <w:sz w:val="28"/>
          <w:szCs w:val="28"/>
        </w:rPr>
        <w:t xml:space="preserve">12.2  How Package Name Scanning Works in This Module</w:t>
      </w:r>
    </w:p>
    <w:p>
      <w:pPr>
        <w:spacing w:after="160"/>
      </w:pPr>
      <w:r>
        <w:rPr>
          <w:rFonts w:ascii="Arial" w:cs="Arial" w:eastAsia="Arial" w:hAnsi="Arial"/>
          <w:sz w:val="24"/>
          <w:szCs w:val="24"/>
        </w:rPr>
        <w:t xml:space="preserve">The _extract_file_entries() function opens the APK as a Python zipfile.ZipFile object and retrieves the namelist() — the complete list of internal paths. Each path is normalised to lowercase and converted from slash-separated to dot-separated notation, producing strings such as com.facebook.ads.interstitialadactivity that directly mirror Java package naming conventions.</w:t>
      </w:r>
    </w:p>
    <w:p>
      <w:pPr>
        <w:spacing w:after="160"/>
      </w:pPr>
      <w:r>
        <w:rPr>
          <w:rFonts w:ascii="Arial" w:cs="Arial" w:eastAsia="Arial" w:hAnsi="Arial"/>
          <w:sz w:val="24"/>
          <w:szCs w:val="24"/>
        </w:rPr>
        <w:t xml:space="preserve">The _scan_for_trackers() function then performs substring matching: for each tracker in the hardcoded TRACKER_DB, it checks whether the tracker's package signature appears anywhere in the normalised entry string. Substring matching is deliberately chosen over exact matching because SDK classes are nested several levels deep — the signature com.adjust.sdk will match com.adjust.sdk.activityhandler, com.adjust.sdk.packagebuilder, and any future subpackage without requiring the database to enumerate every class.</w:t>
      </w:r>
    </w:p>
    <w:p>
      <w:pPr>
        <w:spacing w:after="160"/>
      </w:pPr>
      <w:r>
        <w:rPr>
          <w:rFonts w:ascii="Arial" w:cs="Arial" w:eastAsia="Arial" w:hAnsi="Arial"/>
          <w:sz w:val="24"/>
          <w:szCs w:val="24"/>
        </w:rPr>
        <w:t xml:space="preserve">The trade-off is that substring matching can produce false positives in the rare case where two SDKs share a prefix — as demonstrated in our testing, where the com.facebook signature matched both the Facebook SDK and the Meta Audience Network. In production-grade scanners this is resolved by ordering signatures from most-specific to least-specific and breaking on the first match, or by adopting regular-expression anchoring. For the scope of this module, the deduplication key is sdk_name rather than signature, so each distinct SDK is recorded only once regardless of how many of its classes appear in the APK.</w:t>
      </w:r>
    </w:p>
    <w:p>
      <w:pPr>
        <w:pStyle w:val="Heading2"/>
        <w:spacing w:after="120" w:before="240"/>
      </w:pPr>
      <w:r>
        <w:rPr>
          <w:rFonts w:ascii="Arial" w:cs="Arial" w:eastAsia="Arial" w:hAnsi="Arial"/>
          <w:b/>
          <w:bCs/>
          <w:sz w:val="28"/>
          <w:szCs w:val="28"/>
        </w:rPr>
        <w:t xml:space="preserve">12.3  What Static Analysis Reveals — and Its Limits</w:t>
      </w:r>
    </w:p>
    <w:p>
      <w:pPr>
        <w:spacing w:after="160"/>
      </w:pPr>
      <w:r>
        <w:rPr>
          <w:rFonts w:ascii="Arial" w:cs="Arial" w:eastAsia="Arial" w:hAnsi="Arial"/>
          <w:sz w:val="24"/>
          <w:szCs w:val="24"/>
        </w:rPr>
        <w:t xml:space="preserve">Static analysis of APK file paths, as implemented in this module, is a first-order detection technique. It reliably answers the question: is this SDK present in the binary? It does not answer: is the SDK initialised at runtime, under what conditions is it activated, what specific data fields does this instance transmit, or has the developer disabled data collection via SDK configuration flags?</w:t>
      </w:r>
    </w:p>
    <w:p>
      <w:pPr>
        <w:spacing w:after="160"/>
      </w:pPr>
      <w:r>
        <w:rPr>
          <w:rFonts w:ascii="Arial" w:cs="Arial" w:eastAsia="Arial" w:hAnsi="Arial"/>
          <w:sz w:val="24"/>
          <w:szCs w:val="24"/>
        </w:rPr>
        <w:t xml:space="preserve">Dynamic analysis — running the application on a device or emulator and intercepting its network traffic — provides ground truth on actual data transmission. Tools such as Frida, mitmproxy, and Objection are used for dynamic analysis. The Privacy Posture Analyzer deliberately begins with static analysis because it is non-invasive, requires only the APK file, produces instant results, and covers 100% of the binary surface without requiring a specific user interaction flow to trigger SDK initialisation.</w:t>
      </w:r>
    </w:p>
    <w:p>
      <w:pPr>
        <w:spacing w:after="160"/>
      </w:pPr>
      <w:r>
        <w:rPr>
          <w:rFonts w:ascii="Arial" w:cs="Arial" w:eastAsia="Arial" w:hAnsi="Arial"/>
          <w:sz w:val="24"/>
          <w:szCs w:val="24"/>
        </w:rPr>
        <w:t xml:space="preserve">Future extensions of this module could incorporate DEX bytecode parsing (using tools such as androguard) to detect SDK usage through method call graphs rather than file paths, which would survive ProGuard obfuscation. Network traffic analysis, manifest permission cross-referencing (the role of Member 1's permissions module), and AI-based anomaly detection (Member 4's module) collectively form the layered static-and-dynamic analysis pipeline that the Privacy Posture Analyzer is architected to support.</w:t>
      </w:r>
    </w:p>
    <w:p>
      <w:pPr>
        <w:pStyle w:val="Heading2"/>
        <w:spacing w:after="120" w:before="240"/>
      </w:pPr>
      <w:r>
        <w:rPr>
          <w:rFonts w:ascii="Arial" w:cs="Arial" w:eastAsia="Arial" w:hAnsi="Arial"/>
          <w:b/>
          <w:bCs/>
          <w:sz w:val="28"/>
          <w:szCs w:val="28"/>
        </w:rPr>
        <w:t xml:space="preserve">12.4  Risk Scoring Methodology</w:t>
      </w:r>
    </w:p>
    <w:p>
      <w:pPr>
        <w:spacing w:after="160"/>
      </w:pPr>
      <w:r>
        <w:rPr>
          <w:rFonts w:ascii="Arial" w:cs="Arial" w:eastAsia="Arial" w:hAnsi="Arial"/>
          <w:sz w:val="24"/>
          <w:szCs w:val="24"/>
        </w:rPr>
        <w:t xml:space="preserve">Each tracker in the TRACKER_DB is assigned a risk score between 0 and 100 based on four factors: the breadth of personal data collected (narrow technical data scores low; cross-context behavioural profiles score high); the persistence of identifiers used (session-scoped scores low; device-persistent GAID/fingerprint scores high); the potential for sensitive inference (financial and social data scores higher than aggregate analytics); and the geographic scope of data transfer (US-based processors with adequate transfer mechanisms score slightly lower than those with unclear transfer practices).</w:t>
      </w:r>
    </w:p>
    <w:p>
      <w:pPr>
        <w:spacing w:after="160"/>
      </w:pPr>
      <w:r>
        <w:rPr>
          <w:rFonts w:ascii="Arial" w:cs="Arial" w:eastAsia="Arial" w:hAnsi="Arial"/>
          <w:sz w:val="24"/>
          <w:szCs w:val="24"/>
        </w:rPr>
        <w:t xml:space="preserve">These scores are intended as relative risk signals for the privacy audit report generated by Member 3's report module, not as absolute legal determinations. A risk score of 85 for Meta Audience Network reflects that this SDK collects device identifiers, location data, purchase history, and browsing behaviour for cross-app profiling — not that its use is unlawful per se. Lawfulness depends on the application's consent implementation, its privacy policy, and its DPA with Meta, all of which are outside the scope of static binary analysis.</w:t>
      </w:r>
    </w:p>
    <w:p>
      <w:pPr>
        <w:pBdr>
          <w:top w:val="single" w:color="CCCCCC" w:sz="4" w:space="1"/>
        </w:pBdr>
        <w:spacing w:after="0" w:before="400"/>
      </w:pPr>
      <w:r>
        <w:rPr>
          <w:rFonts w:ascii="Arial" w:cs="Arial" w:eastAsia="Arial" w:hAnsi="Arial"/>
          <w:color w:val="999999"/>
          <w:sz w:val="18"/>
          <w:szCs w:val="18"/>
        </w:rPr>
        <w:t xml:space="preserve">Privacy Posture Analyzer — Member 2 Theoretical Summary — SDK &amp; Tracker Detection Module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32"/>
      <w:szCs w:val="32"/>
    </w:rPr>
  </w:style>
  <w:style w:type="paragraph" w:styleId="Heading2">
    <w:name w:val="Heading 2"/>
    <w:basedOn w:val="Normal"/>
    <w:next w:val="Normal"/>
    <w:pPr>
      <w:spacing w:after="120" w:before="2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2026-05-05T09:41:04.373Z</dcterms:created>
  <dcterms:modified xsi:type="dcterms:W3CDTF">2026-05-05T09:41:04.373Z</dcterms:modified>
</cp:coreProperties>
</file>

<file path=docProps/custom.xml><?xml version="1.0" encoding="utf-8"?>
<Properties xmlns="http://schemas.openxmlformats.org/officeDocument/2006/custom-properties" xmlns:vt="http://schemas.openxmlformats.org/officeDocument/2006/docPropsVTypes"/>
</file>