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00633">
      <w:pPr>
        <w:spacing w:after="1300"/>
      </w:pPr>
      <w:bookmarkStart w:id="7" w:name="_GoBack"/>
      <w:bookmarkEnd w:id="7"/>
    </w:p>
    <w:p w14:paraId="1415E60B">
      <w:pPr>
        <w:spacing w:after="200"/>
        <w:ind w:firstLine="0"/>
        <w:jc w:val="center"/>
      </w:pPr>
      <w:r>
        <w:rPr>
          <w:rFonts w:ascii="Times New Roman" w:hAnsi="Times New Roman" w:eastAsia="仿宋"/>
          <w:i w:val="0"/>
          <w:color w:val="000000"/>
          <w:sz w:val="28"/>
        </w:rPr>
        <w:t>2026“仓颉杯”智能编程大赛</w:t>
      </w:r>
    </w:p>
    <w:p w14:paraId="2D899FA1">
      <w:pPr>
        <w:pStyle w:val="27"/>
        <w:spacing w:after="900"/>
        <w:jc w:val="center"/>
      </w:pPr>
      <w:r>
        <w:t>综合系统赛道</w:t>
      </w:r>
    </w:p>
    <w:p w14:paraId="476655CD">
      <w:pPr>
        <w:pStyle w:val="32"/>
        <w:spacing w:line="540" w:lineRule="exact"/>
        <w:jc w:val="center"/>
      </w:pPr>
      <w:r>
        <w:rPr>
          <w:rFonts w:ascii="Times New Roman" w:hAnsi="Times New Roman" w:eastAsia="仿宋"/>
          <w:b/>
          <w:i w:val="0"/>
          <w:color w:val="000000"/>
          <w:sz w:val="32"/>
        </w:rPr>
        <w:t>ReproMind：基于多智能体协同的</w:t>
      </w:r>
      <w:r>
        <w:rPr>
          <w:rFonts w:ascii="Times New Roman" w:hAnsi="Times New Roman" w:eastAsia="仿宋"/>
          <w:b/>
          <w:i w:val="0"/>
          <w:color w:val="000000"/>
          <w:sz w:val="32"/>
        </w:rPr>
        <w:br w:type="textWrapping"/>
      </w:r>
      <w:r>
        <w:rPr>
          <w:rFonts w:ascii="Times New Roman" w:hAnsi="Times New Roman" w:eastAsia="仿宋"/>
          <w:b/>
          <w:i w:val="0"/>
          <w:color w:val="000000"/>
          <w:sz w:val="32"/>
        </w:rPr>
        <w:t>开源论文复现系统</w:t>
      </w:r>
    </w:p>
    <w:p w14:paraId="63010A03">
      <w:pPr>
        <w:pStyle w:val="27"/>
        <w:spacing w:before="300" w:after="1100"/>
        <w:jc w:val="center"/>
      </w:pPr>
      <w:r>
        <w:t>项目说明文档</w:t>
      </w:r>
    </w:p>
    <w:p w14:paraId="01583F71">
      <w:pPr>
        <w:spacing w:after="200"/>
        <w:ind w:firstLine="0"/>
        <w:jc w:val="center"/>
      </w:pPr>
      <w:r>
        <w:t>彭基轩</w:t>
      </w:r>
    </w:p>
    <w:p w14:paraId="52B0538F">
      <w:pPr>
        <w:spacing w:after="200"/>
        <w:ind w:firstLine="0"/>
        <w:jc w:val="center"/>
      </w:pPr>
      <w:r>
        <w:t>苏州大学</w:t>
      </w:r>
    </w:p>
    <w:p w14:paraId="3FD6263A">
      <w:pPr>
        <w:spacing w:after="200"/>
        <w:ind w:firstLine="0"/>
        <w:jc w:val="center"/>
      </w:pPr>
      <w:r>
        <w:t>2026 年 10 月 20 日</w:t>
      </w:r>
    </w:p>
    <w:p w14:paraId="62AF6B34">
      <w:pPr>
        <w:sectPr>
          <w:pgSz w:w="11906" w:h="16838"/>
          <w:pgMar w:top="1440" w:right="1800" w:bottom="1440" w:left="1800" w:header="709" w:footer="709" w:gutter="0"/>
          <w:cols w:space="720" w:num="1"/>
          <w:docGrid w:linePitch="360" w:charSpace="0"/>
        </w:sectPr>
      </w:pPr>
    </w:p>
    <w:p w14:paraId="5E2F3552">
      <w:pPr>
        <w:spacing w:after="400"/>
        <w:ind w:firstLine="0"/>
        <w:jc w:val="center"/>
      </w:pPr>
      <w:r>
        <w:rPr>
          <w:rFonts w:ascii="Times New Roman" w:hAnsi="Times New Roman" w:eastAsia="仿宋"/>
          <w:b/>
          <w:i w:val="0"/>
          <w:color w:val="000000"/>
          <w:sz w:val="28"/>
        </w:rPr>
        <w:t>目  录</w:t>
      </w:r>
    </w:p>
    <w:p w14:paraId="4AEA6C2F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fldChar w:fldCharType="begin"/>
      </w:r>
      <w:r>
        <w:instrText xml:space="preserve"> HYPERLINK \l _Toc10616 </w:instrText>
      </w:r>
      <w:r>
        <w:fldChar w:fldCharType="separate"/>
      </w:r>
      <w:r>
        <w:t>一、项目背景与定位</w:t>
      </w:r>
      <w:r>
        <w:tab/>
      </w:r>
      <w:r>
        <w:fldChar w:fldCharType="begin"/>
      </w:r>
      <w:r>
        <w:instrText xml:space="preserve"> PAGEREF _Toc10616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37AB4C8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_Toc20429 </w:instrText>
      </w:r>
      <w:r>
        <w:fldChar w:fldCharType="separate"/>
      </w:r>
      <w:r>
        <w:t>二、需求分析与功能模块</w:t>
      </w:r>
      <w:r>
        <w:tab/>
      </w:r>
      <w:r>
        <w:fldChar w:fldCharType="begin"/>
      </w:r>
      <w:r>
        <w:instrText xml:space="preserve"> PAGEREF _Toc20429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E5B7040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_Toc8822 </w:instrText>
      </w:r>
      <w:r>
        <w:fldChar w:fldCharType="separate"/>
      </w:r>
      <w:r>
        <w:t>三、多 Agent 协作机制</w:t>
      </w:r>
      <w:r>
        <w:tab/>
      </w:r>
      <w:r>
        <w:fldChar w:fldCharType="begin"/>
      </w:r>
      <w:r>
        <w:instrText xml:space="preserve"> PAGEREF _Toc8822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019D172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_Toc9714 </w:instrText>
      </w:r>
      <w:r>
        <w:fldChar w:fldCharType="separate"/>
      </w:r>
      <w:r>
        <w:t>四、核心功能展示与应用效果</w:t>
      </w:r>
      <w:r>
        <w:tab/>
      </w:r>
      <w:r>
        <w:fldChar w:fldCharType="begin"/>
      </w:r>
      <w:r>
        <w:instrText xml:space="preserve"> PAGEREF _Toc9714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4EDBA97A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_Toc967 </w:instrText>
      </w:r>
      <w:r>
        <w:fldChar w:fldCharType="separate"/>
      </w:r>
      <w:r>
        <w:t>五、创新点与技术特点</w:t>
      </w:r>
      <w:r>
        <w:tab/>
      </w:r>
      <w:r>
        <w:fldChar w:fldCharType="begin"/>
      </w:r>
      <w:r>
        <w:instrText xml:space="preserve"> PAGEREF _Toc967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277B82FC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_Toc24919 </w:instrText>
      </w:r>
      <w:r>
        <w:fldChar w:fldCharType="separate"/>
      </w:r>
      <w:r>
        <w:t>六、技术方案与部署方式</w:t>
      </w:r>
      <w:r>
        <w:tab/>
      </w:r>
      <w:r>
        <w:fldChar w:fldCharType="begin"/>
      </w:r>
      <w:r>
        <w:instrText xml:space="preserve"> PAGEREF _Toc24919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5674A9B9">
      <w:pPr>
        <w:pStyle w:val="26"/>
        <w:tabs>
          <w:tab w:val="right" w:leader="dot" w:pos="8306"/>
        </w:tabs>
      </w:pPr>
      <w:r>
        <w:fldChar w:fldCharType="begin"/>
      </w:r>
      <w:r>
        <w:instrText xml:space="preserve"> HYPERLINK \l _Toc5038 </w:instrText>
      </w:r>
      <w:r>
        <w:fldChar w:fldCharType="separate"/>
      </w:r>
      <w:r>
        <w:t>七、应用价值</w:t>
      </w:r>
      <w:r>
        <w:tab/>
      </w:r>
      <w:r>
        <w:fldChar w:fldCharType="begin"/>
      </w:r>
      <w:r>
        <w:instrText xml:space="preserve"> PAGEREF _Toc5038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36420BF1">
      <w:pPr>
        <w:ind w:firstLine="0"/>
      </w:pPr>
      <w:r>
        <w:fldChar w:fldCharType="end"/>
      </w:r>
    </w:p>
    <w:p w14:paraId="2DA171AF">
      <w:r>
        <w:br w:type="page"/>
      </w:r>
    </w:p>
    <w:p w14:paraId="6D23C7AA">
      <w:pPr>
        <w:pStyle w:val="3"/>
      </w:pPr>
      <w:bookmarkStart w:id="0" w:name="_Toc10616"/>
      <w:r>
        <w:t>一、项目背景与定位</w:t>
      </w:r>
      <w:bookmarkEnd w:id="0"/>
    </w:p>
    <w:p w14:paraId="1BA653B2">
      <w:pPr>
        <w:pStyle w:val="4"/>
      </w:pPr>
      <w:r>
        <w:t>1.1 项目概述</w:t>
      </w:r>
    </w:p>
    <w:p w14:paraId="0178FC2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是面向开源论文的多 Agent 科研复现系统。用户上传论文、提供作者仓库或上传源码后，系统围绕同一个项目组织论文理解、源码检查、数据准备、环境适配、实验执行、运行纠错和结果比较。复现助手可以结合当前项目回答问题，也可以把修改实验的要求交给编码流程处理。</w:t>
      </w:r>
    </w:p>
    <w:p w14:paraId="3BCF544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希望解决的是一个具体问题：研究者理解论文之后，怎样在自己的机器上把作者实验跑起来，并知道实际用了哪些数据、参数和代码。系统把这些信息保存为可查看的实验记录，让准备、运行、修改和比较能够接续进行。</w:t>
      </w:r>
    </w:p>
    <w:p w14:paraId="6AF424E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优先使用作者公开实现和用户上传的已有源码。工作台支持 Windows 与 Linux，提供本地部署和在线使用两种方式。本地适合连接个人科研设备，云端便于快速体验和查看实验；具体任务按所在机器的资源执行。</w:t>
      </w:r>
    </w:p>
    <w:p w14:paraId="3173C5C7">
      <w:pPr>
        <w:pStyle w:val="4"/>
      </w:pPr>
      <w:r>
        <w:t>1.2 论文复现为什么仍然困难</w:t>
      </w:r>
    </w:p>
    <w:p w14:paraId="517F651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论文、README 和源代码承担不同的说明任务。论文可能给出各数据集的最佳配置，README 只展示一条示例命令，源代码又包含自己的默认值。用户需要把这三者对应起来，才能确定实际要运行的实验，而不是只把示例命令执行一次。</w:t>
      </w:r>
    </w:p>
    <w:p w14:paraId="2A9AF46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数据和环境也存在类似问题。数据可能位于另一个仓库或作者主页；同名数据集可能有不同变体和划分。旧代码可能需要旧 Python，某些依赖只能在 Linux 或特定 CUDA 环境安装。仓库下载、依赖安装和数据下载还会受到网络速度影响。</w:t>
      </w:r>
    </w:p>
    <w:p w14:paraId="765EC24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运行之后，用户仍需判断结果是否对应论文。训练、验证和测试指标的用途不同，参数是否实际生效需要查看真实命令，曲线和最终数值需要与同一组实验关联。代码修改后，如果沿用旧运行名称或覆盖旧结果，后续分析就容易混淆。</w:t>
      </w:r>
    </w:p>
    <w:p w14:paraId="0BB516E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这些问题共同要求系统理解论文语义、读取真实工程状态，并持续保存操作之间的关系。单独解决某一个报错，只完成了复现工作的一部分。</w:t>
      </w:r>
    </w:p>
    <w:p w14:paraId="19729CAA">
      <w:pPr>
        <w:pStyle w:val="4"/>
      </w:pPr>
      <w:r>
        <w:t>1.3 已有 Codex、Claude Code，为什么还需要 ReproMind</w:t>
      </w:r>
    </w:p>
    <w:p w14:paraId="6F0863C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Codex、Claude Code 等智能编程工具已经能够阅读代码、修改文件、执行命令，并通过脚本或技能扩展工作流。研究者完全可以使用这些工具辅助复现。ReproMind 的出发点，是把论文复现中反复需要的工作组织成默认可用的产品流程。</w:t>
      </w:r>
    </w:p>
    <w:p w14:paraId="4D176D0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对于熟悉工程实践的用户，通用编程工具提供了较大自由度；对于刚开始做科研的用户，仍需自己定义论文目标、数据版本、运行范围、选参规则和记录方式。例如，“Cora 与 NELL 使用不同超参数”“只能依据验证集选参”“修改代码后另存实验”等要求，需要成为每次运行都遵守的明确约束。</w:t>
      </w:r>
    </w:p>
    <w:p w14:paraId="7E609B5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把论文、源码、数据、环境和实验结果关联到同一个任务。用户通过页面检查准备情况，通过 Agent 协作完成理解和修改，通过程序规则核对真实文件、命令及指标。系统的价值主要体现在科研流程的组织与结果管理，不能据此推断其基础模型或通用编码能力超过上述工具。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3488"/>
        <w:gridCol w:w="3488"/>
      </w:tblGrid>
      <w:tr w14:paraId="6815720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29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9D0CB3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比较维度</w:t>
            </w:r>
          </w:p>
        </w:tc>
        <w:tc>
          <w:tcPr>
            <w:tcW w:w="3488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380E81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使用通用编程工具时需要组织的工作</w:t>
            </w:r>
          </w:p>
        </w:tc>
        <w:tc>
          <w:tcPr>
            <w:tcW w:w="3488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054BE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ReproMind 提供的默认流程</w:t>
            </w:r>
          </w:p>
        </w:tc>
      </w:tr>
      <w:tr w14:paraId="609A405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00DDFD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任务表达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9E8A55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在提示词、文件和脚本中说明论文目标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1F576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按项目保存论文规范、数据集、指标和运行范围</w:t>
            </w:r>
          </w:p>
        </w:tc>
      </w:tr>
      <w:tr w14:paraId="19235F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E92E58C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环境与数据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BEC0AEF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编排检查、安装与下载步骤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80F9EA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结合本机条件给出方案，展示来源、缺失项与进度</w:t>
            </w:r>
          </w:p>
        </w:tc>
      </w:tr>
      <w:tr w14:paraId="4EF7581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6019A7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实验修改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EC86179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约定修改对象和重跑方式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BA913E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绑定当前运行、源码、环境和设备，预览后分别确认</w:t>
            </w:r>
          </w:p>
        </w:tc>
      </w:tr>
      <w:tr w14:paraId="05DA0D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413E7A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结果分析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0988F1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组织指标解析、作图和历史归档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908CB5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区分数据分区、作者配置与修改配置，保存曲线和比较结果</w:t>
            </w:r>
          </w:p>
        </w:tc>
      </w:tr>
      <w:tr w14:paraId="2A63830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29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5A5F0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使用入口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C90C16D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在开发工具与脚本之间操作</w:t>
            </w:r>
          </w:p>
        </w:tc>
        <w:tc>
          <w:tcPr>
            <w:tcW w:w="3488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E2E9B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提供科研工作台、复现助手与个人项目空间</w:t>
            </w:r>
          </w:p>
        </w:tc>
      </w:tr>
    </w:tbl>
    <w:p w14:paraId="78F78870">
      <w:pPr>
        <w:spacing w:after="100" w:line="40" w:lineRule="exact"/>
        <w:ind w:firstLine="0"/>
      </w:pPr>
    </w:p>
    <w:p w14:paraId="314AAF0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上述比较针对产品默认工作流。通用工具也可以通过定制实现这些流程，两者可以互补。工具能力说明参考官方资料：Codex CLI（https://learn.chatgpt.com/docs/codex/cli）和 Claude Code Overview（https://code.claude.com/docs/en/overview）。</w:t>
      </w:r>
    </w:p>
    <w:p w14:paraId="101C1B24">
      <w:pPr>
        <w:pStyle w:val="4"/>
      </w:pPr>
      <w:r>
        <w:t>1.4 面向的用户</w:t>
      </w:r>
    </w:p>
    <w:p w14:paraId="478C609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主要用户是需要复现开源论文的研究生和科研初学者。他们希望理解论文与实现的对应关系，能够在自己的设备上准备实验，并在出错时得到基于实际上下文的帮助。</w:t>
      </w:r>
    </w:p>
    <w:p w14:paraId="390F5CC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研究人员可以利用项目记录管理不同配置的实验，教师可以将论文、代码、参数和结果作为科研训练材料。在线体验者可以先了解主要操作，再根据算力需求选择本地部署。</w:t>
      </w:r>
    </w:p>
    <w:p w14:paraId="473850D0">
      <w:pPr>
        <w:pStyle w:val="3"/>
      </w:pPr>
      <w:bookmarkStart w:id="1" w:name="_Toc20429"/>
      <w:r>
        <w:t>二、需求分析与功能模块</w:t>
      </w:r>
      <w:bookmarkEnd w:id="1"/>
    </w:p>
    <w:p w14:paraId="604114AC">
      <w:pPr>
        <w:pStyle w:val="4"/>
      </w:pPr>
      <w:r>
        <w:t>2.1 用户希望完成的任务</w:t>
      </w:r>
    </w:p>
    <w:p w14:paraId="1F70B4D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围绕三个连续任务设计：按照作者实现准备并运行实验；根据真实日志处理运行问题；在保留原结果的前提下修改代码或配置并开展新实验。三个任务都需要明确论文、数据集、源码、设备和环境，不能仅凭一个论文名称决定操作。</w:t>
      </w:r>
    </w:p>
    <w:p w14:paraId="5394D2F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准备阶段需要看到“还缺什么”和“将执行什么”，运行阶段需要看到当前进展和日志，结束后需要看到实际指标、论文目标和配置差异。对于下载慢、模型响应慢和代码校验不通过等情况，系统应给出具体状态及下一步处理入口。</w:t>
      </w:r>
    </w:p>
    <w:p w14:paraId="1ABD46E6">
      <w:pPr>
        <w:pStyle w:val="4"/>
      </w:pPr>
      <w:r>
        <w:t>2.2 六类业务功能</w:t>
      </w:r>
    </w:p>
    <w:p w14:paraId="5A998A0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下列六项是按用户任务划分的业务功能。它们与 Agent 角色存在多对多关系，例如实验执行同时需要论文理解、环境与数据工具，以及异常发生后的 Repair Agent；代码修改需要规划、编码和语义校验协作。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0"/>
        <w:gridCol w:w="3322"/>
        <w:gridCol w:w="3073"/>
      </w:tblGrid>
      <w:tr w14:paraId="520025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10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A8DDC4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业务功能</w:t>
            </w:r>
          </w:p>
        </w:tc>
        <w:tc>
          <w:tcPr>
            <w:tcW w:w="332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C0D55C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处理内容</w:t>
            </w:r>
          </w:p>
        </w:tc>
        <w:tc>
          <w:tcPr>
            <w:tcW w:w="307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AD02B0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用户获得的结果</w:t>
            </w:r>
          </w:p>
        </w:tc>
      </w:tr>
      <w:tr w14:paraId="58E5A7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C5756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论文与材料管理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F19C679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保存论文、源码、配置、说明和结果，提取可用正文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AE0B53C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同一项目内可查的材料与解析状态</w:t>
            </w:r>
          </w:p>
        </w:tc>
      </w:tr>
      <w:tr w14:paraId="7713EC6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FEDE55C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源码与数据准备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E48D80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识别作者来源，下载源码，核对数据变体和必需文件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242CB56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源码工作区、数据清单、来源和缺失项</w:t>
            </w:r>
          </w:p>
        </w:tc>
      </w:tr>
      <w:tr w14:paraId="0514F4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FD310A4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环境与设备适配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FF54CC8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检查系统、解释器、依赖和 CPU/GPU 条件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809A8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可复用或可创建的独立环境方案</w:t>
            </w:r>
          </w:p>
        </w:tc>
      </w:tr>
      <w:tr w14:paraId="25AC229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CFA6B5F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实验执行与纠错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CCACFFC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运行批准命令，采集日志，分类处理错误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3733EEA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运行状态、真实输出、修复经过与退出结果</w:t>
            </w:r>
          </w:p>
        </w:tc>
      </w:tr>
      <w:tr w14:paraId="30C5406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4CB64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实验调整与结果分析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1ED8E27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修改源码、规划有界调参，组织指标与图表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47C7CE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可检查的变更、新实验记录和结果比较</w:t>
            </w:r>
          </w:p>
        </w:tc>
      </w:tr>
      <w:tr w14:paraId="377D5C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0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8057862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项目复现助手</w:t>
            </w:r>
          </w:p>
        </w:tc>
        <w:tc>
          <w:tcPr>
            <w:tcW w:w="332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0BD673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结合论文、代码和当前运行回答与协作</w:t>
            </w:r>
          </w:p>
        </w:tc>
        <w:tc>
          <w:tcPr>
            <w:tcW w:w="307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5C64AB6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有项目依据的解释、定位和操作方案</w:t>
            </w:r>
          </w:p>
        </w:tc>
      </w:tr>
    </w:tbl>
    <w:p w14:paraId="0BCCB021">
      <w:pPr>
        <w:spacing w:after="100" w:line="40" w:lineRule="exact"/>
        <w:ind w:firstLine="0"/>
      </w:pPr>
    </w:p>
    <w:p w14:paraId="472915B9">
      <w:pPr>
        <w:pStyle w:val="4"/>
      </w:pPr>
      <w:r>
        <w:t>2.3 材料、源码与数据</w:t>
      </w:r>
    </w:p>
    <w:p w14:paraId="5E718A8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用户可以上传论文 PDF、代码 ZIP、配置、说明、结果和数据材料。系统保留原始附件及其哈希、类型和解析信息，后续规划与问答使用与当前项目相关的内容。扫描件或复杂表格存在解析边界，目标值不明确时可以继续核对和修订。</w:t>
      </w:r>
    </w:p>
    <w:p w14:paraId="362622C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源码可以来自 GitHub、Gitee、Zenodo 或上传压缩包。系统识别实际源码根目录、入口脚本与关联依赖，并在已知来源内采用后备下载方式。代码包获取完成后仍要检查是否具备运行所需文件。</w:t>
      </w:r>
    </w:p>
    <w:p w14:paraId="0A3BA36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数据准备先检查仓库，再沿论文、README 和作者关联资源寻找来源；对于可识别的公共数据集，结合加载器要求核对文件格式、变体和划分。下载过程展示进度并区分连接等待、读取空闲与总预算。需要授权、登录或作者未公开的数据，会列出相应条件，用户可以补充来源或上传文件。</w:t>
      </w:r>
    </w:p>
    <w:p w14:paraId="3E40135A">
      <w:pPr>
        <w:pStyle w:val="4"/>
      </w:pPr>
      <w:r>
        <w:t>2.4 环境适配与实验执行</w:t>
      </w:r>
    </w:p>
    <w:p w14:paraId="516B161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工作台环境和作者实验环境分开管理。工作台使用当前支持的 Python，论文在项目独立 Conda 环境中运行。系统依据真实入口、依赖声明和主机条件寻找兼容组合，并先检查已有环境能否复用。</w:t>
      </w:r>
    </w:p>
    <w:p w14:paraId="4FF35B8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对于 Linux 专有依赖或不满足条件的 GPU 框架，页面提供不兼容提示及可行运行位置。设备信息区分硬件、框架能力和实际执行证据。用户确认后，执行服务使用选定解释器和工作目录运行命令，并保存参数、日志、时间与退出状态。</w:t>
      </w:r>
    </w:p>
    <w:p w14:paraId="7A20437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运行错误按照网络、数据、依赖、源码和资源条件分类。能够处理的问题进入有限修复与重试，不能继续的问题保留现场和处理说明。暂停后需要等待相关进程退出，源码修改也要检查项目是否仍有活动实验。</w:t>
      </w:r>
    </w:p>
    <w:p w14:paraId="2C232576">
      <w:pPr>
        <w:pStyle w:val="4"/>
      </w:pPr>
      <w:r>
        <w:t>2.5 实验修改、调参与结果</w:t>
      </w:r>
    </w:p>
    <w:p w14:paraId="6CFDCDB6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修改需求绑定具体运行，明确涉及的数据集、文件、环境和设备。系统先生成差异并校验，用户确认后应用；启动修改后的实验再次确认，并另存运行记录。这样可以比较不同配置，也能避免修改作用于错误的实验。</w:t>
      </w:r>
    </w:p>
    <w:p w14:paraId="4C8463F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调参范围优先来自作者实际声明的参数和可核验配置。系统检查参数在当前入口是否生效，保留作者配置结果，按验证集选择候选。每次计划都有预算、范围和确认标识，配置改变后需要重新核对。</w:t>
      </w:r>
    </w:p>
    <w:p w14:paraId="1A07F58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消融对照需要能够识别的模型组件开关，并保持数据集、环境和评估条件一致。普通超参数变化作为配置对比保存；没有可核验组件开关时，系统提示缺少条件，不把一次调参称为消融实验。</w:t>
      </w:r>
    </w:p>
    <w:p w14:paraId="22F6C68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结果页面将实际训练曲线、最终指标、论文目标和差值放在同一运行中。指标区分单位、方向和训练／验证／测试分区；作者配置实验与修改配置实验分别解释。当前默认实用口径对比例指标使用 1 个百分点容差，其他指标通常使用目标值的 5%，同时显示真实数值及比较依据。</w:t>
      </w:r>
    </w:p>
    <w:p w14:paraId="78CEF177">
      <w:pPr>
        <w:pStyle w:val="4"/>
      </w:pPr>
      <w:r>
        <w:t>2.6 可靠性与个人空间</w:t>
      </w:r>
    </w:p>
    <w:p w14:paraId="005EB32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云端提供注册、登录、记住登录、退出、改密和恢复密钥找回密码，项目及其附件、运行、报告和对话按用户隔离。本地个人部署默认免登录。</w:t>
      </w:r>
    </w:p>
    <w:p w14:paraId="6EBD898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模型调用、文件准备和实验执行都有可见状态。用户能够判断系统正在读取资料、等待模型、下载文件还是执行实验；出现错误时保留原因和记录。运行完成与论文指标达到要求分别展示，便于后续分析。</w:t>
      </w:r>
    </w:p>
    <w:p w14:paraId="3F68A2FB">
      <w:pPr>
        <w:pStyle w:val="3"/>
      </w:pPr>
      <w:bookmarkStart w:id="2" w:name="_Toc8822"/>
      <w:r>
        <w:t>三、多 Agent 协作机制</w:t>
      </w:r>
      <w:bookmarkEnd w:id="2"/>
    </w:p>
    <w:p w14:paraId="71B3B300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的多 Agent 由后端按任务状态组织。每个模型驱动角色都有特定的输入、处理要求、输出结构与校验方式；角色可以共享同一基础模型，也可以按能力组选择不同模型。图1展示核心模型协作角色，图2说明它们怎样与工具、规则及用户确认衔接。</w:t>
      </w:r>
    </w:p>
    <w:p w14:paraId="2EAF7D2A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4984115" cy="6227445"/>
            <wp:effectExtent l="0" t="0" r="1460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4176" cy="62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F96A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 核心模型驱动 Agent 的职责与输入输出</w:t>
      </w:r>
    </w:p>
    <w:p w14:paraId="70A99C4C">
      <w:pPr>
        <w:pStyle w:val="4"/>
      </w:pPr>
      <w:r>
        <w:t>3.1 Agent、工具和任务编排器的分工</w:t>
      </w:r>
    </w:p>
    <w:p w14:paraId="4808643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Agent 负责需要语言理解、代码推理和方案判断的部分；工具负责读取文件、下载、环境探测和子进程执行；规则负责路径、参数、数据分区和指标比较等可明确验证的条件。任务编排器保存进展，决定当前调用哪个角色、使用哪些工具，以及何时等待用户确认。</w:t>
      </w:r>
    </w:p>
    <w:p w14:paraId="69020C1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例如，Paper Agent 从论文中提出数据集和目标值，证据检查再核对原文与表头；Code Agent 产生源码修改，静态检查和 Semantic Review Agent 再判断修改是否满足需求。文件是否存在、进程是否正常退出等事实由程序读取。</w:t>
      </w:r>
    </w:p>
    <w:p w14:paraId="7552F5CE">
      <w:pPr>
        <w:pStyle w:val="4"/>
      </w:pPr>
      <w:r>
        <w:t>3.2 核心模型角色</w:t>
      </w:r>
    </w:p>
    <w:p w14:paraId="486FC6F7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Paper Agent 把论文与作者说明整理为实验规范，包括数据集、指标、按数据集限定的参数和目标依据。它为后续服务提供结构化输入，避免各步骤反复自行解释论文。</w:t>
      </w:r>
    </w:p>
    <w:p w14:paraId="5654678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Code Planning Agent 根据用户要求、文件目录和当前运行约束选择应读取的文件，形成修改步骤和验收点。Code Agent 据此协调入口、模型、数据与评估代码，输出能够与当前原文逐项对应的修改差异。</w:t>
      </w:r>
    </w:p>
    <w:p w14:paraId="5D92D60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Semantic Review Agent 对照需求、任务约束和候选源码检查修改是否真正生效。检查内容包括参数是否被命令覆盖、目标数据集是否正确、设备与环境是否一致，以及是否改变了原有评估语义。具体问题返回编码轮次继续处理。</w:t>
      </w:r>
    </w:p>
    <w:p w14:paraId="266029A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Repair Agent 在运行失败或代码校验给出具体问题时参与，结合实际异常和相关源码形成修复。程序检查与实际重试继续验证效果。Project Copilot 则面向用户组织问答，读取当前项目与所选运行，并把需要执行的操作交给相应业务流程。</w:t>
      </w:r>
    </w:p>
    <w:p w14:paraId="37ADB8F7">
      <w:pPr>
        <w:pStyle w:val="4"/>
      </w:pPr>
      <w:r>
        <w:t>3.3 阶段角色与业务功能的关系</w:t>
      </w:r>
    </w:p>
    <w:p w14:paraId="0D92615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协作网络页面按 11 个阶段角色展示论文理解、源码定位、代码检查、环境、数据、执行、修复、调参、结果、报告与项目助手。Code Planning Agent 和 Semantic Review Agent 是编码流程中的细分角色。因此，“六类业务功能”“核心模型角色”和“页面阶段节点”是三个观察角度，不能直接按数量互相对应。</w:t>
      </w:r>
    </w:p>
    <w:p w14:paraId="6EC1206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其中 Source、Environment、Data、Execution、Tuning、Result 和 Report 等阶段主要由工具与程序规则实现，必要时调用模型完成局部判断。当前报告文件由结构化实验记录整理生成，数值比较也由规则执行；这些阶段不需要各自常驻一个大模型。</w:t>
      </w:r>
    </w:p>
    <w:p w14:paraId="0CFD6AF5">
      <w:pPr>
        <w:pStyle w:val="4"/>
      </w:pPr>
      <w:r>
        <w:t>3.4 任务如何交接</w:t>
      </w:r>
    </w:p>
    <w:p w14:paraId="2F04EB1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论文规范、源码快照、数据与环境状态、命令和结果随运行保存。角色交接时传递这些结构化事实及必要原文，下一阶段继续使用同一运行上下文。编码流程还传递计划、验收点、差异和问题清单。</w:t>
      </w:r>
    </w:p>
    <w:p w14:paraId="1E72A76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这使协作能够形成反馈：论文目标不清楚时回到材料核对；缺数据时补充来源后重新检查；编码校验不通过时把具体问题返回 Code Agent；运行失败时诊断后重试；需要额外调参时先展示计划，再单独确认。</w:t>
      </w:r>
    </w:p>
    <w:p w14:paraId="66B87E74">
      <w:r>
        <w:br w:type="page"/>
      </w:r>
    </w:p>
    <w:p w14:paraId="71884D26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14620" cy="651573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4659" cy="65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8502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图2 任务编排与 Agent 协作关系</w:t>
      </w:r>
    </w:p>
    <w:p w14:paraId="7759617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图2中的 A 为运行准备，确认后进入 B 的执行与结果流程；C 在用户提出修改需求时进入。图中“静态与语义校验”同时包含程序检查和 Semantic Review Agent。代码应用、修改后实验及额外搜索分别确认。</w:t>
      </w:r>
    </w:p>
    <w:p w14:paraId="6E33D3A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图2以通过复现助手发起需求为例；用户也可以从项目页面直接创建任务，由编排器进入同一准备流程。</w:t>
      </w:r>
    </w:p>
    <w:p w14:paraId="73F3700B">
      <w:pPr>
        <w:pStyle w:val="4"/>
      </w:pPr>
      <w:r>
        <w:t>3.5 一次修改请求中的协作实例</w:t>
      </w:r>
    </w:p>
    <w:p w14:paraId="4501112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用户提出“只把 Cora 的隐藏维度从 16 改为 32，其他设置保持不变，在现有环境和 CPU 上运行，另存实验”。编排器先绑定当前运行和源码，Planning Agent 选择训练入口及关联配置，Code Agent 生成修改，校验阶段检查命令是否仍覆盖该参数。</w:t>
      </w:r>
    </w:p>
    <w:p w14:paraId="6970D7B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用户确认应用后，再确认仅运行 Cora。新记录保存实际参数、命令、环境和结果，原实验继续保留。复现助手解释结果时，也使用新记录中的实际参数，而不是继续引用旧代码默认值。第四章展示了这一类已经保存的修改实验。</w:t>
      </w:r>
    </w:p>
    <w:p w14:paraId="6599B9BC">
      <w:pPr>
        <w:pStyle w:val="3"/>
      </w:pPr>
      <w:bookmarkStart w:id="3" w:name="_Toc9714"/>
      <w:r>
        <w:t>四、核心功能展示与应用效果</w:t>
      </w:r>
      <w:bookmarkEnd w:id="3"/>
    </w:p>
    <w:p w14:paraId="6A3583D4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本章按主要业务功能展示系统页面及已有运行结果。页面取自实际工作台，重点区域作独立截图以便阅读；2026 年 10 月 20 日整理页面时读取的是已经保存的项目、对话与实验，没有重新启动训练。</w:t>
      </w:r>
    </w:p>
    <w:p w14:paraId="38A053DD">
      <w:pPr>
        <w:pStyle w:val="4"/>
      </w:pPr>
      <w:r>
        <w:t>4.1 项目管理与材料归集</w:t>
      </w:r>
    </w:p>
    <w:p w14:paraId="222DE251">
      <w:pPr>
        <w:keepNext/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项目控制台集中展示材料数量、实验记录和最近项目。进入项目后，可以保存论文、补充配置和说明，并在同一位置发起复现或继续已有实验。材料归集为各 Agent 提供了共同的信息入口。</w:t>
      </w:r>
    </w:p>
    <w:p w14:paraId="0E900465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4992370"/>
            <wp:effectExtent l="0" t="0" r="146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4992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D3DE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图3 项目控制台与最近项目</w:t>
      </w:r>
    </w:p>
    <w:p w14:paraId="3B80ADDA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2120900"/>
            <wp:effectExtent l="0" t="0" r="14605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1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7049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图4 项目材料与补充证据入口</w:t>
      </w:r>
    </w:p>
    <w:p w14:paraId="56F3948A">
      <w:pPr>
        <w:pStyle w:val="4"/>
      </w:pPr>
      <w:r>
        <w:t>4.2 源码、环境与数据准备</w:t>
      </w:r>
    </w:p>
    <w:p w14:paraId="196AFB2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实际任务中，系统取得作者仓库，为四个数据集分别生成运行参数，并使用独立兼容环境。页面同时保留仓库地址、命令和环境名称，用户可以检查实验将作用于哪份源码。</w:t>
      </w:r>
    </w:p>
    <w:p w14:paraId="47CF13B9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094605" cy="3923665"/>
            <wp:effectExtent l="0" t="0" r="1079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4870" cy="392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F193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图5 作者仓库、逐数据集命令与独立环境</w:t>
      </w:r>
    </w:p>
    <w:p w14:paraId="4ED7EA7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缺少的 NELL 数据沿作者关联说明找到下载地址，取得对应变体的八个训练文件。该次下载约 7 分钟，后续实验成功读取了数据。页面展示来源与适配状态，下载完成、文件齐全和论文处理版本是否完全一致分别表达。</w:t>
      </w:r>
    </w:p>
    <w:p w14:paraId="6D96E0F5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135380"/>
            <wp:effectExtent l="0" t="0" r="1460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13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ADA0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图6 公开数据来源与适配状态</w:t>
      </w:r>
    </w:p>
    <w:p w14:paraId="1CE8A598">
      <w:pPr>
        <w:pStyle w:val="4"/>
      </w:pPr>
      <w:r>
        <w:t>4.3 复现助手能够同时回答论文与当前实验问题</w:t>
      </w:r>
    </w:p>
    <w:p w14:paraId="31BFFC9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已有真实提问同时询问不同数据集的论文参数、NELL 数据来源和当前运行状态。助手的最终回答区分了论文配置与本轮实际参数，并依据当前文件和结果说明数据已经就绪、实验已经结束。</w:t>
      </w:r>
    </w:p>
    <w:p w14:paraId="3EE9FA8A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814070"/>
            <wp:effectExtent l="0" t="0" r="1460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81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5ACC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图7 复现助手对不同数据集论文参数的回答节选</w:t>
      </w:r>
    </w:p>
    <w:p w14:paraId="04871C3F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886585"/>
            <wp:effectExtent l="0" t="0" r="14605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88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E58D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图8 同一回答中关于数据来源、文件和当前结果的说明</w:t>
      </w:r>
    </w:p>
    <w:p w14:paraId="0BAB0F7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在该类混合问题的最终记录中，云端完整回答约 11.47 秒，Windows 约 10.67 秒。系统同时通过状态提示和分段输出展示处理过程。这些时间是两次实际请求的观测，用于说明已有响应效果。</w:t>
      </w:r>
    </w:p>
    <w:p w14:paraId="73D2F3EF">
      <w:pPr>
        <w:pStyle w:val="4"/>
      </w:pPr>
      <w:r>
        <w:t>4.4 代码修改落实到指定实验</w:t>
      </w:r>
    </w:p>
    <w:p w14:paraId="38DC23A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代码工作台允许用户明确数据集、参数、设备和环境，并选择由 Agent 查找关联文件。需求进入规划、编码和校验流程后，用户查看差异并确认应用，再决定是否运行。</w:t>
      </w:r>
    </w:p>
    <w:p w14:paraId="42F12D94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043940"/>
            <wp:effectExtent l="0" t="0" r="146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0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88F5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图9 代码工作台中的实验修改需求示例</w:t>
      </w:r>
    </w:p>
    <w:p w14:paraId="5F4F3FAE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已有记录中，系统将隐藏维度从 16 调整为 32，仅在现有环境中运行 Cora，并保留为独立实验。实际命令包含 --hidden1 32，测试准确率为 81.2%；原配置实验的 81.6% 仍保留。这体现了修改、执行和结果解释之间的关联，配置变化也明确显示。</w:t>
      </w:r>
    </w:p>
    <w:p w14:paraId="6984665E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1266190"/>
            <wp:effectExtent l="0" t="0" r="1460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126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6F32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图10 修改实验保存的实际命令</w:t>
      </w:r>
    </w:p>
    <w:p w14:paraId="14DB8A6C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2292985"/>
            <wp:effectExtent l="0" t="0" r="1460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29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C6F4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图11 修改配置后的独立实验结果</w:t>
      </w:r>
    </w:p>
    <w:p w14:paraId="2A9BCE47">
      <w:r>
        <w:br w:type="page"/>
      </w:r>
    </w:p>
    <w:p w14:paraId="574F12F7">
      <w:pPr>
        <w:pStyle w:val="4"/>
      </w:pPr>
      <w:r>
        <w:t>4.5 调参计划能够给出可检查的范围</w:t>
      </w:r>
    </w:p>
    <w:p w14:paraId="2B21299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在已有未达目标的实验上，页面能够生成只读调参计划。示例列出 learning_rate、dropout、weight_decay 和 hidden1 的当前值、候选值与源码位置，并展示预算和确认条件。</w:t>
      </w:r>
    </w:p>
    <w:p w14:paraId="488543F8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4324985" cy="3923665"/>
            <wp:effectExtent l="0" t="0" r="317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5318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49AC6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图12 有界调参计划与确认条件</w:t>
      </w:r>
    </w:p>
    <w:p w14:paraId="5BC6660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这次记录尚未批准额外搜索，因此能够展示的是参数识别与计划生成效果。实际搜索会保存每次尝试并按验证集选择配置，作者配置结果继续保留。</w:t>
      </w:r>
    </w:p>
    <w:p w14:paraId="079B0D27">
      <w:r>
        <w:br w:type="page"/>
      </w:r>
    </w:p>
    <w:p w14:paraId="7E5F8948">
      <w:pPr>
        <w:pStyle w:val="4"/>
      </w:pPr>
      <w:r>
        <w:t>4.6 真实实验、自动纠错与最终结果</w:t>
      </w:r>
    </w:p>
    <w:p w14:paraId="5689901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已有完整作者入口运行覆盖 Cora、Citeseer、Pubmed 和 NELL。四组最终退出码均为 0，并取得测试指标。Cora 与 Citeseer 各运行 200 轮，Pubmed 在 175 轮早停，NELL 在 129 轮早停。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1412"/>
        <w:gridCol w:w="1993"/>
        <w:gridCol w:w="1827"/>
        <w:gridCol w:w="1661"/>
      </w:tblGrid>
      <w:tr w14:paraId="52C1FB5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482459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数据集</w:t>
            </w:r>
          </w:p>
        </w:tc>
        <w:tc>
          <w:tcPr>
            <w:tcW w:w="1412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12B0B59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论文目标</w:t>
            </w:r>
          </w:p>
        </w:tc>
        <w:tc>
          <w:tcPr>
            <w:tcW w:w="1993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2109ECC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实测测试准确率</w:t>
            </w:r>
          </w:p>
        </w:tc>
        <w:tc>
          <w:tcPr>
            <w:tcW w:w="1827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2AB094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差值（百分点）</w:t>
            </w:r>
          </w:p>
        </w:tc>
        <w:tc>
          <w:tcPr>
            <w:tcW w:w="1661" w:type="dxa"/>
            <w:shd w:val="clear" w:color="auto" w:fill="F2F2F2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5242325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/>
                <w:i w:val="0"/>
                <w:color w:val="000000"/>
                <w:sz w:val="21"/>
              </w:rPr>
              <w:t>本次比较</w:t>
            </w:r>
          </w:p>
        </w:tc>
      </w:tr>
      <w:tr w14:paraId="1CE776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45A7D0DE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Cora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099FA6B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81.5%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B7B1F7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81.6%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E48AD8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+0.10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091E2C4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实用容差内</w:t>
            </w:r>
          </w:p>
        </w:tc>
      </w:tr>
      <w:tr w14:paraId="35DAFB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6F45D3B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Citeseer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0DCE8D27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70.3%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670F3BE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71.3%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8963032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+1.00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7BF900FD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实用容差内</w:t>
            </w:r>
          </w:p>
        </w:tc>
      </w:tr>
      <w:tr w14:paraId="14C58D5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5410D7">
            <w:pPr>
              <w:keepNext/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Pubmed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45CFB2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79.0%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1D74D59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78.6%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112FE956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−0.40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A4B99E1">
            <w:pPr>
              <w:keepNext/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实用容差内</w:t>
            </w:r>
          </w:p>
        </w:tc>
      </w:tr>
      <w:tr w14:paraId="1C2300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D66FEB">
            <w:pPr>
              <w:spacing w:before="20" w:after="20" w:line="290" w:lineRule="exact"/>
              <w:ind w:firstLine="0"/>
              <w:jc w:val="left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NELL</w:t>
            </w:r>
          </w:p>
        </w:tc>
        <w:tc>
          <w:tcPr>
            <w:tcW w:w="1412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B4400B9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66.0%</w:t>
            </w:r>
          </w:p>
        </w:tc>
        <w:tc>
          <w:tcPr>
            <w:tcW w:w="1993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5FF0511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53.87%</w:t>
            </w:r>
          </w:p>
        </w:tc>
        <w:tc>
          <w:tcPr>
            <w:tcW w:w="1827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51DB8F15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−12.13</w:t>
            </w:r>
          </w:p>
        </w:tc>
        <w:tc>
          <w:tcPr>
            <w:tcW w:w="1661" w:type="dxa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6C7A22DB">
            <w:pPr>
              <w:spacing w:before="20" w:after="20" w:line="290" w:lineRule="exact"/>
              <w:ind w:firstLine="0"/>
              <w:jc w:val="center"/>
            </w:pPr>
            <w:r>
              <w:rPr>
                <w:rFonts w:ascii="Times New Roman" w:hAnsi="Times New Roman" w:eastAsia="仿宋"/>
                <w:b w:val="0"/>
                <w:i w:val="0"/>
                <w:color w:val="000000"/>
                <w:sz w:val="21"/>
              </w:rPr>
              <w:t>存在明显差距</w:t>
            </w:r>
          </w:p>
        </w:tc>
      </w:tr>
    </w:tbl>
    <w:p w14:paraId="78C5EB9E">
      <w:pPr>
        <w:spacing w:after="100" w:line="40" w:lineRule="exact"/>
        <w:ind w:firstLine="0"/>
      </w:pPr>
    </w:p>
    <w:p w14:paraId="13DE10AA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四组完成了实际训练，其中三组落在当前实用数值容差内。NELL 的加载过程中，系统处理关系节点导致的索引问题并重试，训练与自动重试共约 354 秒。其最终指标仍低于论文目标，后续需要继续核对预处理、划分及实现细节。</w:t>
      </w:r>
    </w:p>
    <w:p w14:paraId="10FDFD22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4859655" cy="3923665"/>
            <wp:effectExtent l="0" t="0" r="1905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9723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DB5D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图13 四数据集结果与逐项判定</w:t>
      </w:r>
    </w:p>
    <w:p w14:paraId="75E9C708">
      <w:r>
        <w:br w:type="page"/>
      </w:r>
    </w:p>
    <w:p w14:paraId="79E8FA92">
      <w:pPr>
        <w:pStyle w:val="4"/>
      </w:pPr>
      <w:r>
        <w:t>4.7 曲线、比较图与报告</w:t>
      </w:r>
    </w:p>
    <w:p w14:paraId="39B93FA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曲线来自训练日志中的实际采样，用户可以选择数据集和运行轮次查看。最终比较图将论文目标与当前实验并列，报告保存命令、数据、参数、修复和结果说明，使图表能够对应到具体运行。</w:t>
      </w:r>
    </w:p>
    <w:p w14:paraId="16E7501E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3110865" cy="3527425"/>
            <wp:effectExtent l="0" t="0" r="1333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1054" cy="3527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C7FE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图14 实际运行的验证准确率与损失曲线</w:t>
      </w:r>
    </w:p>
    <w:p w14:paraId="182A3524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2863850" cy="2915920"/>
            <wp:effectExtent l="0" t="0" r="127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3928" cy="291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B7B7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图15 Cora 论文目标与实际测试结果的比较图</w:t>
      </w:r>
    </w:p>
    <w:p w14:paraId="45AD4A4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图14展示验证过程，表中和图15展示最终测试结果，两者分区不同。上述结果为单次运行，论文多次平均值与本次结果的比较范围在记录中保留。</w:t>
      </w:r>
    </w:p>
    <w:p w14:paraId="629B7F0C">
      <w:r>
        <w:br w:type="page"/>
      </w:r>
    </w:p>
    <w:p w14:paraId="5CCEF4BA">
      <w:pPr>
        <w:pStyle w:val="4"/>
      </w:pPr>
      <w:r>
        <w:t>4.8 Agent 协作网络与模型调度</w:t>
      </w:r>
    </w:p>
    <w:p w14:paraId="44473B9C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协作网络按角色展示输入、输出、职责和实现位置，用户能够了解任务正在由哪个阶段处理。模型调度按编排路由、理解与报告、编码与纠错、需求规划与推理四个能力组配置，角色可以共享模型，也可以选用不同模型。</w:t>
      </w:r>
    </w:p>
    <w:p w14:paraId="4FF4FCCB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185795"/>
            <wp:effectExtent l="0" t="0" r="14605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25B3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图16 工作台中的 Agent 协作网络</w:t>
      </w:r>
    </w:p>
    <w:p w14:paraId="7096C242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188970"/>
            <wp:effectExtent l="0" t="0" r="14605" b="1143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1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88FAA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图17 按能力组配置模型的实际页面</w:t>
      </w:r>
    </w:p>
    <w:p w14:paraId="34C298A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使用统计页面汇总个人项目与任务情况，便于了解工作量和运行分布。它与协作网络、模型调度共同构成辅助管理入口，主要实验事实仍在项目与运行页面查看。</w:t>
      </w:r>
    </w:p>
    <w:p w14:paraId="174A6489">
      <w:pPr>
        <w:pStyle w:val="4"/>
      </w:pPr>
      <w:r>
        <w:t>4.9 账号与使用空间</w:t>
      </w:r>
    </w:p>
    <w:p w14:paraId="25CDD64D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云端提供独立账号入口，登录后使用自己的项目空间。登录、注册、改密和恢复密钥找回均有对应页面；项目及其材料和实验按所属用户访问。本地个人模式无需登录。</w:t>
      </w:r>
    </w:p>
    <w:p w14:paraId="06AE9A83">
      <w:pPr>
        <w:keepNext/>
        <w:keepLines/>
        <w:spacing w:before="120" w:after="80" w:line="240" w:lineRule="auto"/>
        <w:ind w:firstLine="0"/>
        <w:jc w:val="center"/>
      </w:pPr>
      <w:r>
        <w:drawing>
          <wp:inline distT="0" distB="0" distL="114300" distR="114300">
            <wp:extent cx="5273675" cy="3707765"/>
            <wp:effectExtent l="0" t="0" r="14605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37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5ED1">
      <w:pPr>
        <w:pStyle w:val="15"/>
        <w:spacing w:after="180" w:line="280" w:lineRule="exact"/>
        <w:jc w:val="center"/>
      </w:pPr>
      <w:r>
        <w:rPr>
          <w:rFonts w:ascii="Times New Roman" w:hAnsi="Times New Roman" w:eastAsia="仿宋"/>
          <w:i w:val="0"/>
          <w:color w:val="000000"/>
          <w:sz w:val="21"/>
        </w:rPr>
        <w:t>图18 云端账号入口</w:t>
      </w:r>
    </w:p>
    <w:p w14:paraId="6A177563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已有软件检查记录包括 Windows 后端 872 项通过、1 项平台相关跳过，前端 39 项通过及生产构建成功，Linux 也完成了相关准备、隔离与助手回归。它们用于支持软件行为检查；本章将真实问答、实验训练与页面展示分别说明。</w:t>
      </w:r>
    </w:p>
    <w:p w14:paraId="551A94D6">
      <w:pPr>
        <w:pStyle w:val="3"/>
      </w:pPr>
      <w:bookmarkStart w:id="4" w:name="_Toc967"/>
      <w:r>
        <w:t>五、创新点与技术特点</w:t>
      </w:r>
      <w:bookmarkEnd w:id="4"/>
    </w:p>
    <w:p w14:paraId="2FEABE9E">
      <w:pPr>
        <w:pStyle w:val="4"/>
      </w:pPr>
      <w:r>
        <w:t>5.1 将通用智能能力组织成论文复现工作流</w:t>
      </w:r>
    </w:p>
    <w:p w14:paraId="1447EA9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ReproMind 将论文理解、代码规划、修改校验和运行纠错组织为有状态的协作流程。Agent 之间交接实验规范、任务约束与问题清单，工具和规则把规划落实为真实文件、命令及结果，用户能够检查每一阶段产物。</w:t>
      </w:r>
    </w:p>
    <w:p w14:paraId="3BC51E1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这一设计使科研初学者不必先编写完整的复现管理脚本，再开始使用智能助手。通用模型可以替换，论文复现所需的项目关系、确认流程与结果语义继续由系统维护。</w:t>
      </w:r>
    </w:p>
    <w:p w14:paraId="6963A359">
      <w:pPr>
        <w:pStyle w:val="4"/>
      </w:pPr>
      <w:r>
        <w:t>5.2 让代码修改遵守实验约束</w:t>
      </w:r>
    </w:p>
    <w:p w14:paraId="23CCA6F0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修改范围不仅是代码文件，还包括目标数据集、环境、设备和评估方式。规划与语义校验共同检查这些条件，应用和运行分别确认，新实验独立保存。这样能够减少“代码改了，但参数未生效”或“重跑了错误数据集”等科研场景问题。</w:t>
      </w:r>
    </w:p>
    <w:p w14:paraId="5EDAC4F3">
      <w:pPr>
        <w:pStyle w:val="4"/>
      </w:pPr>
      <w:r>
        <w:t>5.3 将结果解释建立在实际记录上</w:t>
      </w:r>
    </w:p>
    <w:p w14:paraId="13A3710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系统区分论文目标、作者默认值和实际执行参数，也区分训练、验证和测试指标。调参依照验证集，图表与报告绑定具体运行，复现助手解释时继续读取这些事实。结果接近和配置变化分别表达，便于用户作出后续判断。</w:t>
      </w:r>
    </w:p>
    <w:p w14:paraId="3FCE64A3">
      <w:pPr>
        <w:pStyle w:val="4"/>
      </w:pPr>
      <w:r>
        <w:t>5.4 将本机条件纳入自动准备</w:t>
      </w:r>
    </w:p>
    <w:p w14:paraId="1B76A48F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项目环境与工作台环境分离，准备过程检查系统、解释器、依赖与设备，并优先复用兼容环境。数据来源、下载恢复和运行诊断也进入同一任务，使自动化能够适应真实设备和网络条件。</w:t>
      </w:r>
    </w:p>
    <w:p w14:paraId="5C04C0B8">
      <w:pPr>
        <w:pStyle w:val="3"/>
      </w:pPr>
      <w:bookmarkStart w:id="5" w:name="_Toc24919"/>
      <w:r>
        <w:t>六、技术方案与部署方式</w:t>
      </w:r>
      <w:bookmarkEnd w:id="5"/>
    </w:p>
    <w:p w14:paraId="4A01E911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前端采用 Vue 3 与 TypeScript，后端采用 FastAPI，Agent 由异步复现引擎和项目编码流程调度。模型通过移动云 MoMA 或通用兼容接口接入；默认由 SQLite 保存业务状态，项目目录保存材料、源码、日志和结果。</w:t>
      </w:r>
    </w:p>
    <w:p w14:paraId="0426A058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本地运行工作台需要 Python 3.11 或 3.12、Node.js 22.12 及以上和 Git。完整实验还需 Conda，以及论文要求的数据和设备。构建后的前端由后端同源提供，默认访问 http://127.0.0.1:8010。数据库随应用初始化，无需另装数据库服务器。</w:t>
      </w:r>
    </w:p>
    <w:p w14:paraId="0C2B4495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在线地址为 https://121.196.217.76，源码仓库为 https://github.com/El-psy-k-congroo/ReproMind。当前展示服务器为 2 核、2GB 内存、无 GPU，保留完整业务入口，按资源条件串行调度外部执行。大型训练和必须 CUDA 的实验适合在有对应设备的本地机器部署。</w:t>
      </w:r>
    </w:p>
    <w:p w14:paraId="6BED4B6B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公网模式采用 HTTPS、服务端会话、项目归属校验和 Linux 执行隔离。密钥、数据库、数据集、模型权重和个人运行文件由部署者管理，不随应用源码发布。系统设计文档给出数据库位置、配置和安装细节。</w:t>
      </w:r>
    </w:p>
    <w:p w14:paraId="4C94BC53">
      <w:pPr>
        <w:pStyle w:val="3"/>
      </w:pPr>
      <w:bookmarkStart w:id="6" w:name="_Toc5038"/>
      <w:r>
        <w:t>七、应用价值</w:t>
      </w:r>
      <w:bookmarkEnd w:id="6"/>
    </w:p>
    <w:p w14:paraId="527082C9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对研究生与科研初学者，ReproMind 提供了从论文到实验的连续入口，能够看到系统为什么选择某个环境、使用哪些数据以及错误发生在哪里。助手与实际工程状态关联，有助于把建议落实到具体操作。</w:t>
      </w:r>
    </w:p>
    <w:p w14:paraId="5CC1EB82">
      <w:pPr>
        <w:jc w:val="both"/>
      </w:pPr>
      <w:r>
        <w:rPr>
          <w:rFonts w:ascii="Times New Roman" w:hAnsi="Times New Roman" w:eastAsia="仿宋"/>
          <w:i w:val="0"/>
          <w:color w:val="000000"/>
          <w:sz w:val="24"/>
        </w:rPr>
        <w:t>对研究人员，项目记录减少了源码、参数和结果分散带来的整理负担，修改后的实验可以与原配置比较。对科研教学，材料、运行过程、配置和指标能够共同用于讲解和检查，使学生不仅提交一个数值，也能说明得到它的过程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09" w:footer="709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71ECB">
    <w:pPr>
      <w:pStyle w:val="24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仿宋"/>
        <w:i w:val="0"/>
        <w:color w:val="000000"/>
        <w:sz w:val="24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3073C8">
    <w:pPr>
      <w:pStyle w:val="25"/>
      <w:ind w:firstLine="0"/>
      <w:jc w:val="center"/>
    </w:pPr>
    <w:r>
      <w:rPr>
        <w:rFonts w:ascii="Times New Roman" w:hAnsi="Times New Roman" w:eastAsia="仿宋"/>
        <w:i w:val="0"/>
        <w:color w:val="000000"/>
        <w:sz w:val="21"/>
      </w:rPr>
      <w:t>ReproMind  项目说明文档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F8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40" w:line="312" w:lineRule="exact"/>
      <w:ind w:firstLine="48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280" w:after="180" w:line="364" w:lineRule="exact"/>
      <w:ind w:firstLine="0"/>
      <w:outlineLvl w:val="0"/>
    </w:pPr>
    <w:rPr>
      <w:rFonts w:ascii="Times New Roman" w:hAnsi="Times New Roman" w:eastAsia="仿宋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100" w:line="312" w:lineRule="exact"/>
      <w:ind w:firstLine="0"/>
      <w:outlineLvl w:val="1"/>
    </w:pPr>
    <w:rPr>
      <w:rFonts w:ascii="Times New Roman" w:hAnsi="Times New Roman" w:eastAsia="仿宋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 w:line="312" w:lineRule="exact"/>
      <w:ind w:firstLine="0"/>
      <w:outlineLvl w:val="2"/>
    </w:pPr>
    <w:rPr>
      <w:rFonts w:ascii="Times New Roman" w:hAnsi="Times New Roman" w:eastAsia="仿宋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  <w:ind w:firstLine="0"/>
    </w:pPr>
    <w:rPr>
      <w:rFonts w:ascii="Times New Roman" w:hAnsi="Times New Roman" w:eastAsia="仿宋"/>
      <w:bCs/>
      <w:color w:val="000000"/>
      <w:sz w:val="21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 w:eastAsia="仿宋"/>
      <w:color w:val="000000"/>
      <w:sz w:val="21"/>
    </w:rPr>
  </w:style>
  <w:style w:type="paragraph" w:styleId="26">
    <w:name w:val="toc 1"/>
    <w:basedOn w:val="1"/>
    <w:next w:val="1"/>
    <w:semiHidden/>
    <w:unhideWhenUsed/>
    <w:uiPriority w:val="39"/>
  </w:style>
  <w:style w:type="paragraph" w:styleId="27">
    <w:name w:val="Subtitle"/>
    <w:basedOn w:val="1"/>
    <w:next w:val="1"/>
    <w:link w:val="143"/>
    <w:qFormat/>
    <w:uiPriority w:val="11"/>
    <w:pPr>
      <w:keepNext/>
      <w:keepLines/>
      <w:spacing w:before="0" w:after="200" w:line="416" w:lineRule="exact"/>
      <w:ind w:firstLine="0"/>
    </w:pPr>
    <w:rPr>
      <w:rFonts w:ascii="Times New Roman" w:hAnsi="Times New Roman" w:eastAsia="仿宋" w:cstheme="majorBidi"/>
      <w:b/>
      <w:iCs/>
      <w:color w:val="000000"/>
      <w:spacing w:val="15"/>
      <w:sz w:val="32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keepLines/>
      <w:spacing w:before="0" w:after="280" w:line="416" w:lineRule="exact"/>
      <w:ind w:firstLine="0"/>
      <w:contextualSpacing/>
    </w:pPr>
    <w:rPr>
      <w:rFonts w:ascii="Times New Roman" w:hAnsi="Times New Roman" w:eastAsia="仿宋" w:cstheme="majorBidi"/>
      <w:b/>
      <w:color w:val="000000"/>
      <w:spacing w:val="5"/>
      <w:kern w:val="28"/>
      <w:sz w:val="3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9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5">
    <w:name w:val="TOC 1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6">
    <w:name w:val="TOC 2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  <w:style w:type="paragraph" w:customStyle="1" w:styleId="167">
    <w:name w:val="TOC 3"/>
    <w:uiPriority w:val="0"/>
    <w:pPr>
      <w:spacing w:after="60" w:line="420" w:lineRule="exact"/>
      <w:ind w:firstLine="0"/>
    </w:pPr>
    <w:rPr>
      <w:rFonts w:ascii="Times New Roman" w:hAnsi="Times New Roman" w:eastAsia="仿宋" w:cstheme="minorBidi"/>
      <w:color w:val="000000"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彭基轩</dc:creator>
  <dc:description>依据项目实现与实际运行记录整理</dc:description>
  <cp:keywords>开源论文复现, 多智能体, 科研工作台, ReproMind</cp:keywords>
  <cp:lastModifiedBy>Elpsycongroo</cp:lastModifiedBy>
  <dcterms:modified xsi:type="dcterms:W3CDTF">2026-10-20T05:02:40Z</dcterms:modified>
  <dc:subject>苏州大学 2026 仓颉杯 综合系统赛道</dc:subject>
  <dc:title>ReproMind：基于多智能体协同的开源论文复现系统 项目说明文档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30F700EE2AE645929CE0A988C595EE98_12</vt:lpwstr>
  </property>
</Properties>
</file>