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6412A">
      <w:pPr>
        <w:spacing w:after="1300"/>
      </w:pPr>
      <w:bookmarkStart w:id="7" w:name="_GoBack"/>
      <w:bookmarkEnd w:id="7"/>
    </w:p>
    <w:p w14:paraId="5D68D46C">
      <w:pPr>
        <w:spacing w:after="200"/>
        <w:ind w:firstLine="0"/>
        <w:jc w:val="center"/>
      </w:pPr>
      <w:r>
        <w:rPr>
          <w:rFonts w:ascii="Times New Roman" w:hAnsi="Times New Roman" w:eastAsia="仿宋"/>
          <w:i w:val="0"/>
          <w:color w:val="000000"/>
          <w:sz w:val="28"/>
        </w:rPr>
        <w:t>2026“仓颉杯”智能编程大赛</w:t>
      </w:r>
    </w:p>
    <w:p w14:paraId="0164B7F9">
      <w:pPr>
        <w:pStyle w:val="27"/>
        <w:spacing w:after="900"/>
        <w:jc w:val="center"/>
      </w:pPr>
      <w:r>
        <w:t>综合系统赛道</w:t>
      </w:r>
    </w:p>
    <w:p w14:paraId="5C3ABA28">
      <w:pPr>
        <w:pStyle w:val="32"/>
        <w:spacing w:line="540" w:lineRule="exact"/>
        <w:jc w:val="center"/>
      </w:pPr>
      <w:r>
        <w:rPr>
          <w:rFonts w:ascii="Times New Roman" w:hAnsi="Times New Roman" w:eastAsia="仿宋"/>
          <w:b/>
          <w:i w:val="0"/>
          <w:color w:val="000000"/>
          <w:sz w:val="32"/>
        </w:rPr>
        <w:t>ReproMind：基于多智能体协同的</w:t>
      </w:r>
      <w:r>
        <w:rPr>
          <w:rFonts w:ascii="Times New Roman" w:hAnsi="Times New Roman" w:eastAsia="仿宋"/>
          <w:b/>
          <w:i w:val="0"/>
          <w:color w:val="000000"/>
          <w:sz w:val="32"/>
        </w:rPr>
        <w:br w:type="textWrapping"/>
      </w:r>
      <w:r>
        <w:rPr>
          <w:rFonts w:ascii="Times New Roman" w:hAnsi="Times New Roman" w:eastAsia="仿宋"/>
          <w:b/>
          <w:i w:val="0"/>
          <w:color w:val="000000"/>
          <w:sz w:val="32"/>
        </w:rPr>
        <w:t>开源论文复现系统</w:t>
      </w:r>
    </w:p>
    <w:p w14:paraId="3704D352">
      <w:pPr>
        <w:pStyle w:val="27"/>
        <w:spacing w:before="300" w:after="1100"/>
        <w:jc w:val="center"/>
      </w:pPr>
      <w:r>
        <w:t>项目说明文档</w:t>
      </w:r>
    </w:p>
    <w:p w14:paraId="4159C92A">
      <w:pPr>
        <w:spacing w:after="200"/>
        <w:ind w:firstLine="0"/>
        <w:jc w:val="center"/>
      </w:pPr>
      <w:r>
        <w:t>彭基轩</w:t>
      </w:r>
    </w:p>
    <w:p w14:paraId="79E1EFC5">
      <w:pPr>
        <w:spacing w:after="200"/>
        <w:ind w:firstLine="0"/>
        <w:jc w:val="center"/>
      </w:pPr>
      <w:r>
        <w:t>苏州大学</w:t>
      </w:r>
    </w:p>
    <w:p w14:paraId="7C53B2B5">
      <w:pPr>
        <w:spacing w:after="200"/>
        <w:ind w:firstLine="0"/>
        <w:jc w:val="center"/>
      </w:pPr>
      <w:r>
        <w:t>2026 年 10 月 21 日</w:t>
      </w:r>
    </w:p>
    <w:p w14:paraId="64B2FC61">
      <w:pPr>
        <w:sectPr>
          <w:pgSz w:w="11906" w:h="16838"/>
          <w:pgMar w:top="1440" w:right="1800" w:bottom="1440" w:left="1800" w:header="709" w:footer="709" w:gutter="0"/>
          <w:cols w:space="720" w:num="1"/>
          <w:docGrid w:linePitch="360" w:charSpace="0"/>
        </w:sectPr>
      </w:pPr>
    </w:p>
    <w:p w14:paraId="26C0F638">
      <w:pPr>
        <w:spacing w:after="400"/>
        <w:ind w:firstLine="0"/>
        <w:jc w:val="center"/>
      </w:pPr>
      <w:r>
        <w:rPr>
          <w:rFonts w:ascii="Times New Roman" w:hAnsi="Times New Roman" w:eastAsia="仿宋"/>
          <w:b/>
          <w:i w:val="0"/>
          <w:color w:val="000000"/>
          <w:sz w:val="28"/>
        </w:rPr>
        <w:t>目  录</w:t>
      </w:r>
    </w:p>
    <w:p w14:paraId="0BD15870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fldChar w:fldCharType="begin"/>
      </w:r>
      <w:r>
        <w:instrText xml:space="preserve"> HYPERLINK \l _Toc16889 </w:instrText>
      </w:r>
      <w:r>
        <w:fldChar w:fldCharType="separate"/>
      </w:r>
      <w:r>
        <w:t>一、项目背景与定位</w:t>
      </w:r>
      <w:r>
        <w:tab/>
      </w:r>
      <w:r>
        <w:fldChar w:fldCharType="begin"/>
      </w:r>
      <w:r>
        <w:instrText xml:space="preserve"> PAGEREF _Toc16889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89CBBD2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_Toc19664 </w:instrText>
      </w:r>
      <w:r>
        <w:fldChar w:fldCharType="separate"/>
      </w:r>
      <w:r>
        <w:t>二、需求分析与功能模块</w:t>
      </w:r>
      <w:r>
        <w:tab/>
      </w:r>
      <w:r>
        <w:fldChar w:fldCharType="begin"/>
      </w:r>
      <w:r>
        <w:instrText xml:space="preserve"> PAGEREF _Toc19664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E7163E4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_Toc24631 </w:instrText>
      </w:r>
      <w:r>
        <w:fldChar w:fldCharType="separate"/>
      </w:r>
      <w:r>
        <w:t>三、多 Agent 协作机制</w:t>
      </w:r>
      <w:r>
        <w:tab/>
      </w:r>
      <w:r>
        <w:fldChar w:fldCharType="begin"/>
      </w:r>
      <w:r>
        <w:instrText xml:space="preserve"> PAGEREF _Toc24631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A0998C1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_Toc13609 </w:instrText>
      </w:r>
      <w:r>
        <w:fldChar w:fldCharType="separate"/>
      </w:r>
      <w:r>
        <w:t>四、核心功能展示与应用效果</w:t>
      </w:r>
      <w:r>
        <w:tab/>
      </w:r>
      <w:r>
        <w:fldChar w:fldCharType="begin"/>
      </w:r>
      <w:r>
        <w:instrText xml:space="preserve"> PAGEREF _Toc13609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49EF128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_Toc18448 </w:instrText>
      </w:r>
      <w:r>
        <w:fldChar w:fldCharType="separate"/>
      </w:r>
      <w:r>
        <w:t>五、创新点与技术特点</w:t>
      </w:r>
      <w:r>
        <w:tab/>
      </w:r>
      <w:r>
        <w:fldChar w:fldCharType="begin"/>
      </w:r>
      <w:r>
        <w:instrText xml:space="preserve"> PAGEREF _Toc18448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860072C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_Toc23697 </w:instrText>
      </w:r>
      <w:r>
        <w:fldChar w:fldCharType="separate"/>
      </w:r>
      <w:r>
        <w:t>六、技术方案与部署方式</w:t>
      </w:r>
      <w:r>
        <w:tab/>
      </w:r>
      <w:r>
        <w:fldChar w:fldCharType="begin"/>
      </w:r>
      <w:r>
        <w:instrText xml:space="preserve"> PAGEREF _Toc23697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03AC3B0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_Toc28699 </w:instrText>
      </w:r>
      <w:r>
        <w:fldChar w:fldCharType="separate"/>
      </w:r>
      <w:r>
        <w:t>七、应用价值</w:t>
      </w:r>
      <w:r>
        <w:tab/>
      </w:r>
      <w:r>
        <w:fldChar w:fldCharType="begin"/>
      </w:r>
      <w:r>
        <w:instrText xml:space="preserve"> PAGEREF _Toc28699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6CF7AC17">
      <w:pPr>
        <w:ind w:firstLine="0"/>
      </w:pPr>
      <w:r>
        <w:fldChar w:fldCharType="end"/>
      </w:r>
    </w:p>
    <w:p w14:paraId="3B5A3E0B">
      <w:r>
        <w:br w:type="page"/>
      </w:r>
    </w:p>
    <w:p w14:paraId="4334A77B">
      <w:pPr>
        <w:pStyle w:val="3"/>
      </w:pPr>
      <w:bookmarkStart w:id="0" w:name="_Toc16889"/>
      <w:r>
        <w:t>一、项目背景与定位</w:t>
      </w:r>
      <w:bookmarkEnd w:id="0"/>
    </w:p>
    <w:p w14:paraId="6C632A58">
      <w:pPr>
        <w:pStyle w:val="4"/>
      </w:pPr>
      <w:r>
        <w:t>1.1 项目概述</w:t>
      </w:r>
    </w:p>
    <w:p w14:paraId="32292E54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ReproMind 是面向开源论文的多 Agent 科研复现系统。用户上传论文、提供作者仓库或上传源码后，系统围绕同一个项目组织论文理解、源码检查、数据准备、环境适配、实验执行、运行纠错和结果比较。复现助手可以结合当前项目回答问题，也可以把修改实验的要求交给编码流程处理。</w:t>
      </w:r>
    </w:p>
    <w:p w14:paraId="24CAC107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项目希望解决的是一个具体问题：研究者理解论文之后，怎样在自己的机器上把作者实验跑起来，并知道实际用了哪些数据、参数和代码。系统把这些信息保存为可查看的实验记录，让准备、运行、修改和比较能够接续进行。</w:t>
      </w:r>
    </w:p>
    <w:p w14:paraId="7DD8766E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ReproMind 优先使用作者公开实现和用户上传的已有源码。工作台支持 Windows 与 Linux，提供本地部署和在线使用两种方式。本地适合连接个人科研设备，云端便于快速体验和查看实验；具体任务按所在机器的资源执行。</w:t>
      </w:r>
    </w:p>
    <w:p w14:paraId="2DDDBC0E">
      <w:pPr>
        <w:pStyle w:val="4"/>
      </w:pPr>
      <w:r>
        <w:t>1.2 论文复现为什么仍然困难</w:t>
      </w:r>
    </w:p>
    <w:p w14:paraId="5C26CCA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论文、README 和源代码承担不同的说明任务。论文可能给出各数据集的最佳配置，README 只展示一条示例命令，源代码又包含自己的默认值。用户需要把这三者对应起来，才能确定实际要运行的实验，而不是只把示例命令执行一次。</w:t>
      </w:r>
    </w:p>
    <w:p w14:paraId="16EDA551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数据和环境也存在类似问题。数据可能位于另一个仓库或作者主页；同名数据集可能有不同变体和划分。旧代码可能需要旧 Python，某些依赖只能在 Linux 或特定 CUDA 环境安装。仓库下载、依赖安装和数据下载还会受到网络速度影响。</w:t>
      </w:r>
    </w:p>
    <w:p w14:paraId="69A8535A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运行之后，用户仍需判断结果是否对应论文。训练、验证和测试指标的用途不同，参数是否实际生效需要查看真实命令，曲线和最终数值需要与同一组实验关联。代码修改后，如果沿用旧运行名称或覆盖旧结果，后续分析就容易混淆。</w:t>
      </w:r>
    </w:p>
    <w:p w14:paraId="02F04238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这些问题共同要求系统理解论文语义、读取真实工程状态，并持续保存操作之间的关系。单独解决某一个报错，只完成了复现工作的一部分。</w:t>
      </w:r>
    </w:p>
    <w:p w14:paraId="26DBF7C7">
      <w:pPr>
        <w:pStyle w:val="4"/>
      </w:pPr>
      <w:r>
        <w:t>1.3 已有 Codex、Claude Code，为什么还需要 ReproMind</w:t>
      </w:r>
    </w:p>
    <w:p w14:paraId="58D7429C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Codex、Claude Code 等智能编程工具已经能够阅读代码、修改文件、执行命令，并通过脚本或技能扩展工作流。研究者完全可以使用这些工具辅助复现。ReproMind 的出发点，是把论文复现中反复需要的工作组织成默认可用的产品流程。</w:t>
      </w:r>
    </w:p>
    <w:p w14:paraId="34583F9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对于熟悉工程实践的用户，通用编程工具提供了较大自由度；对于刚开始做科研的用户，仍需自己定义论文目标、数据版本、运行范围、选参规则和记录方式。例如，“Cora 与 NELL 使用不同超参数”“只能依据验证集选参”“修改代码后另存实验”等要求，需要成为每次运行都遵守的明确约束。</w:t>
      </w:r>
    </w:p>
    <w:p w14:paraId="03222F5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ReproMind 把论文、源码、数据、环境和实验结果关联到同一个任务。用户通过页面检查准备情况，通过 Agent 协作完成理解和修改，通过程序规则核对真实文件、命令及指标。系统的价值主要体现在科研流程的组织与结果管理，不能据此推断其基础模型或通用编码能力超过上述工具。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9"/>
        <w:gridCol w:w="3488"/>
        <w:gridCol w:w="3488"/>
      </w:tblGrid>
      <w:tr w14:paraId="523E82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29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E891F5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比较维度</w:t>
            </w:r>
          </w:p>
        </w:tc>
        <w:tc>
          <w:tcPr>
            <w:tcW w:w="3488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63FAEF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使用通用编程工具时需要组织的工作</w:t>
            </w:r>
          </w:p>
        </w:tc>
        <w:tc>
          <w:tcPr>
            <w:tcW w:w="3488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0B01C4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ReproMind 提供的默认流程</w:t>
            </w:r>
          </w:p>
        </w:tc>
      </w:tr>
      <w:tr w14:paraId="2EEF7A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718627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任务表达</w:t>
            </w:r>
          </w:p>
        </w:tc>
        <w:tc>
          <w:tcPr>
            <w:tcW w:w="348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5E543C9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在提示词、文件和脚本中说明论文目标</w:t>
            </w:r>
          </w:p>
        </w:tc>
        <w:tc>
          <w:tcPr>
            <w:tcW w:w="348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A2FE68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按项目保存论文规范、数据集、指标和运行范围</w:t>
            </w:r>
          </w:p>
        </w:tc>
      </w:tr>
      <w:tr w14:paraId="2E2341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F02AF0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环境与数据</w:t>
            </w:r>
          </w:p>
        </w:tc>
        <w:tc>
          <w:tcPr>
            <w:tcW w:w="348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252513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编排检查、安装与下载步骤</w:t>
            </w:r>
          </w:p>
        </w:tc>
        <w:tc>
          <w:tcPr>
            <w:tcW w:w="348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56487B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结合本机条件给出方案，展示来源、缺失项与进度</w:t>
            </w:r>
          </w:p>
        </w:tc>
      </w:tr>
      <w:tr w14:paraId="3ED1FB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C4FD47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实验修改</w:t>
            </w:r>
          </w:p>
        </w:tc>
        <w:tc>
          <w:tcPr>
            <w:tcW w:w="348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5CF21B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约定修改对象和重跑方式</w:t>
            </w:r>
          </w:p>
        </w:tc>
        <w:tc>
          <w:tcPr>
            <w:tcW w:w="348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3D6BC1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绑定当前运行、源码、环境和设备，预览后分别确认</w:t>
            </w:r>
          </w:p>
        </w:tc>
      </w:tr>
      <w:tr w14:paraId="5D88F1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A643D3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结果分析</w:t>
            </w:r>
          </w:p>
        </w:tc>
        <w:tc>
          <w:tcPr>
            <w:tcW w:w="348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97018B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组织指标解析、作图和历史归档</w:t>
            </w:r>
          </w:p>
        </w:tc>
        <w:tc>
          <w:tcPr>
            <w:tcW w:w="348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BE1A65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区分数据分区、作者配置与修改配置，保存曲线和比较结果</w:t>
            </w:r>
          </w:p>
        </w:tc>
      </w:tr>
      <w:tr w14:paraId="278A2D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9FE164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使用入口</w:t>
            </w:r>
          </w:p>
        </w:tc>
        <w:tc>
          <w:tcPr>
            <w:tcW w:w="348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868840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在开发工具与脚本之间操作</w:t>
            </w:r>
          </w:p>
        </w:tc>
        <w:tc>
          <w:tcPr>
            <w:tcW w:w="348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4125D0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提供科研工作台、复现助手与个人项目空间</w:t>
            </w:r>
          </w:p>
        </w:tc>
      </w:tr>
    </w:tbl>
    <w:p w14:paraId="091FABD8">
      <w:pPr>
        <w:spacing w:after="100" w:line="40" w:lineRule="exact"/>
        <w:ind w:firstLine="0"/>
      </w:pPr>
    </w:p>
    <w:p w14:paraId="78EF50D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上述比较针对产品默认工作流。通用工具也可以通过定制实现这些流程，两者可以互补。工具能力说明参考官方资料：Codex CLI（https://learn.chatgpt.com/docs/codex/cli）和 Claude Code Overview（https://code.claude.com/docs/en/overview）。</w:t>
      </w:r>
    </w:p>
    <w:p w14:paraId="3436F2C2">
      <w:pPr>
        <w:pStyle w:val="4"/>
      </w:pPr>
      <w:r>
        <w:t>1.4 面向的用户</w:t>
      </w:r>
    </w:p>
    <w:p w14:paraId="3403D5D2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主要用户是需要复现开源论文的研究生和科研初学者。他们希望理解论文与实现的对应关系，能够在自己的设备上准备实验，并在出错时得到基于实际上下文的帮助。</w:t>
      </w:r>
    </w:p>
    <w:p w14:paraId="7CE416E2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研究人员可以利用项目记录管理不同配置的实验，教师可以将论文、代码、参数和结果作为科研训练材料。在线体验者可以先了解主要操作，再根据算力需求选择本地部署。</w:t>
      </w:r>
    </w:p>
    <w:p w14:paraId="1F087294">
      <w:pPr>
        <w:pStyle w:val="3"/>
      </w:pPr>
      <w:bookmarkStart w:id="1" w:name="_Toc19664"/>
      <w:r>
        <w:t>二、需求分析与功能模块</w:t>
      </w:r>
      <w:bookmarkEnd w:id="1"/>
    </w:p>
    <w:p w14:paraId="5E611CE6">
      <w:pPr>
        <w:pStyle w:val="4"/>
      </w:pPr>
      <w:r>
        <w:t>2.1 用户希望完成的任务</w:t>
      </w:r>
    </w:p>
    <w:p w14:paraId="4B9A4734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系统围绕三个连续任务设计：按照作者实现准备并运行实验；根据真实日志处理运行问题；在保留原结果的前提下修改代码或配置并开展新实验。三个任务都需要明确论文、数据集、源码、设备和环境，不能仅凭一个论文名称决定操作。</w:t>
      </w:r>
    </w:p>
    <w:p w14:paraId="19F680F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准备阶段需要看到“还缺什么”和“将执行什么”，运行阶段需要看到当前进展和日志，结束后需要看到实际指标、论文目标和配置差异。对于下载慢、模型响应慢和代码校验不通过等情况，系统应给出具体状态及下一步处理入口。</w:t>
      </w:r>
    </w:p>
    <w:p w14:paraId="0C845B72">
      <w:pPr>
        <w:pStyle w:val="4"/>
      </w:pPr>
      <w:r>
        <w:t>2.2 六类业务功能</w:t>
      </w:r>
    </w:p>
    <w:p w14:paraId="6048335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下列六项是按用户任务划分的业务功能。它们与 Agent 角色存在多对多关系，例如实验执行同时需要论文理解、环境与数据工具，以及异常发生后的 Repair Agent；代码修改需要规划、编码和语义校验协作。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3322"/>
        <w:gridCol w:w="3073"/>
      </w:tblGrid>
      <w:tr w14:paraId="1781F9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  <w:tblHeader/>
          <w:jc w:val="center"/>
        </w:trPr>
        <w:tc>
          <w:tcPr>
            <w:tcW w:w="1910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44BC01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业务功能</w:t>
            </w:r>
          </w:p>
        </w:tc>
        <w:tc>
          <w:tcPr>
            <w:tcW w:w="3322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2E737D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处理内容</w:t>
            </w:r>
          </w:p>
        </w:tc>
        <w:tc>
          <w:tcPr>
            <w:tcW w:w="3073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28A0A1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用户获得的结果</w:t>
            </w:r>
          </w:p>
        </w:tc>
      </w:tr>
      <w:tr w14:paraId="47C426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2E6C13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论文与材料管理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74D472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保存论文、源码、配置、说明和结果，提取可用正文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411E02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同一项目内可查的材料与解析状态</w:t>
            </w:r>
          </w:p>
        </w:tc>
      </w:tr>
      <w:tr w14:paraId="53DF91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C65568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源码与数据准备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59FEAA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识别作者来源，下载源码，核对数据变体和必需文件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534990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源码工作区、数据清单、来源和缺失项</w:t>
            </w:r>
          </w:p>
        </w:tc>
      </w:tr>
      <w:tr w14:paraId="18C9D0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9C4F4F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环境与设备适配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D232AF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检查系统、解释器、依赖和 CPU/GPU 条件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0CCC64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可复用或可创建的独立环境方案</w:t>
            </w:r>
          </w:p>
        </w:tc>
      </w:tr>
      <w:tr w14:paraId="5CD8BD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0575FA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实验执行与纠错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266979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运行批准命令，采集日志，分类处理错误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C44E8C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运行状态、真实输出、修复经过与退出结果</w:t>
            </w:r>
          </w:p>
        </w:tc>
      </w:tr>
      <w:tr w14:paraId="599D75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F86CB5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实验调整与结果分析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146D41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修改源码、规划有界调参，组织指标与图表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78D602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可检查的变更、新实验记录和结果比较</w:t>
            </w:r>
          </w:p>
        </w:tc>
      </w:tr>
      <w:tr w14:paraId="6BAEE9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91F965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项目复现助手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A13D57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结合论文、代码和当前运行回答与协作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18D360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有项目依据的解释、定位和操作方案</w:t>
            </w:r>
          </w:p>
        </w:tc>
      </w:tr>
    </w:tbl>
    <w:p w14:paraId="56CC4BC2">
      <w:pPr>
        <w:spacing w:after="100" w:line="40" w:lineRule="exact"/>
        <w:ind w:firstLine="0"/>
      </w:pPr>
    </w:p>
    <w:p w14:paraId="72C11B80">
      <w:pPr>
        <w:pStyle w:val="4"/>
      </w:pPr>
      <w:r>
        <w:t>2.3 材料、源码与数据</w:t>
      </w:r>
    </w:p>
    <w:p w14:paraId="2929AB2D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用户可以上传论文 PDF、代码 ZIP、配置、说明、结果和数据材料。系统保留原始附件及其哈希、类型和解析信息，后续规划与问答使用与当前项目相关的内容。扫描件或复杂表格存在解析边界，目标值不明确时可以继续核对和修订。</w:t>
      </w:r>
    </w:p>
    <w:p w14:paraId="03F7C5F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源码可以来自 GitHub、Gitee、Zenodo 或上传压缩包。系统识别实际源码根目录、入口脚本与关联依赖，并在已知来源内采用后备下载方式。代码包获取完成后仍要检查是否具备运行所需文件。</w:t>
      </w:r>
    </w:p>
    <w:p w14:paraId="26A11A3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数据准备先检查仓库，再沿论文、README 和作者关联资源寻找来源；对于可识别的公共数据集，结合加载器要求核对文件格式、变体和划分。下载过程展示进度并区分连接等待、读取空闲与总预算。需要授权、登录或作者未公开的数据，会列出相应条件，用户可以补充来源或上传文件。</w:t>
      </w:r>
    </w:p>
    <w:p w14:paraId="0D1F0CC8">
      <w:pPr>
        <w:pStyle w:val="4"/>
      </w:pPr>
      <w:r>
        <w:t>2.4 环境适配与实验执行</w:t>
      </w:r>
    </w:p>
    <w:p w14:paraId="5655EF47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工作台环境和作者实验环境分开管理。工作台使用当前支持的 Python，论文在项目独立 Conda 环境中运行。系统依据真实入口、依赖声明和主机条件寻找兼容组合，并先检查已有环境能否复用。</w:t>
      </w:r>
    </w:p>
    <w:p w14:paraId="48862A44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对于 Linux 专有依赖或不满足条件的 GPU 框架，页面提供不兼容提示及可行运行位置。设备信息区分硬件、框架能力和实际执行证据。用户确认后，执行服务使用选定解释器和工作目录运行命令，并保存参数、日志、时间与退出状态。</w:t>
      </w:r>
    </w:p>
    <w:p w14:paraId="17B48AA8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运行错误按照网络、数据、依赖、源码和资源条件分类。能够处理的问题进入有限修复与重试，不能继续的问题保留现场和处理说明。暂停后需要等待相关进程退出，源码修改也要检查项目是否仍有活动实验。</w:t>
      </w:r>
    </w:p>
    <w:p w14:paraId="1EA31620">
      <w:pPr>
        <w:pStyle w:val="4"/>
      </w:pPr>
      <w:r>
        <w:t>2.5 实验修改、调参与结果</w:t>
      </w:r>
    </w:p>
    <w:p w14:paraId="58B4401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修改需求绑定具体运行，明确涉及的数据集、文件、环境和设备。系统先生成差异并校验，用户确认后应用；启动修改后的实验再次确认，并另存运行记录。这样可以比较不同配置，也能避免修改作用于错误的实验。</w:t>
      </w:r>
    </w:p>
    <w:p w14:paraId="38A89AF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调参范围优先来自作者实际声明的参数和可核验配置。系统检查参数在当前入口是否生效，保留作者配置结果，按验证集选择候选。每次计划都有预算、范围和确认标识，配置改变后需要重新核对。</w:t>
      </w:r>
    </w:p>
    <w:p w14:paraId="27B0AA61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消融对照需要能够识别的模型组件开关，并保持数据集、环境和评估条件一致。普通超参数变化作为配置对比保存；没有可核验组件开关时，系统提示缺少条件，不把一次调参称为消融实验。</w:t>
      </w:r>
    </w:p>
    <w:p w14:paraId="5AE027A2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结果页面将实际训练曲线、最终指标、论文目标和差值放在同一运行中。指标区分单位、方向和训练／验证／测试分区；作者配置实验与修改配置实验分别解释。当前默认实用口径对比例指标使用 1 个百分点容差，其他指标通常使用目标值的 5%，同时显示真实数值及比较依据。</w:t>
      </w:r>
    </w:p>
    <w:p w14:paraId="7C34088C">
      <w:pPr>
        <w:pStyle w:val="4"/>
      </w:pPr>
      <w:r>
        <w:t>2.6 可靠性与个人空间</w:t>
      </w:r>
    </w:p>
    <w:p w14:paraId="2ADAAF97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云端提供注册、登录、记住登录、退出、改密和恢复密钥找回密码，项目及其附件、运行、报告和对话按用户隔离。本地个人部署默认免登录。</w:t>
      </w:r>
    </w:p>
    <w:p w14:paraId="71E2DAD4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模型调用、文件准备和实验执行都有可见状态。用户能够判断系统正在读取资料、等待模型、下载文件还是执行实验；出现错误时保留原因和记录。运行完成与论文指标达到要求分别展示，便于后续分析。</w:t>
      </w:r>
    </w:p>
    <w:p w14:paraId="4A9507CC">
      <w:pPr>
        <w:pStyle w:val="3"/>
      </w:pPr>
      <w:bookmarkStart w:id="2" w:name="_Toc24631"/>
      <w:r>
        <w:t>三、多 Agent 协作机制</w:t>
      </w:r>
      <w:bookmarkEnd w:id="2"/>
    </w:p>
    <w:p w14:paraId="573CB631">
      <w:pPr>
        <w:keepNext/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ReproMind 的多 Agent 由后端按任务状态组织。每个模型驱动角色都有特定的输入、处理要求、输出结构与校验方式；角色可以共享同一基础模型，也可以按能力组选择不同模型。图1展示核心模型协作角色，图2说明它们怎样与工具、规则及用户确认衔接。</w:t>
      </w:r>
    </w:p>
    <w:p w14:paraId="51963A87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4984115" cy="6227445"/>
            <wp:effectExtent l="0" t="0" r="1460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4176" cy="622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E552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图1 核心模型驱动 Agent 的职责与输入输出</w:t>
      </w:r>
    </w:p>
    <w:p w14:paraId="02DF5061">
      <w:pPr>
        <w:pStyle w:val="4"/>
      </w:pPr>
      <w:r>
        <w:t>3.1 Agent、工具和任务编排器的分工</w:t>
      </w:r>
    </w:p>
    <w:p w14:paraId="12BF6AB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Agent 负责需要语言理解、代码推理和方案判断的部分；工具负责读取文件、下载、环境探测和子进程执行；规则负责路径、参数、数据分区和指标比较等可明确验证的条件。任务编排器保存进展，决定当前调用哪个角色、使用哪些工具，以及何时等待用户确认。</w:t>
      </w:r>
    </w:p>
    <w:p w14:paraId="465356B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例如，Paper Agent 从论文中提出数据集和目标值，证据检查再核对原文与表头；Code Agent 产生源码修改，静态检查和 Semantic Review Agent 再判断修改是否满足需求。文件是否存在、进程是否正常退出等事实由程序读取。</w:t>
      </w:r>
    </w:p>
    <w:p w14:paraId="7FD443FE">
      <w:pPr>
        <w:pStyle w:val="4"/>
      </w:pPr>
      <w:r>
        <w:t>3.2 核心模型角色</w:t>
      </w:r>
    </w:p>
    <w:p w14:paraId="7F84B0B8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Paper Agent 把论文与作者说明整理为实验规范，包括数据集、指标、按数据集限定的参数和目标依据。它为后续服务提供结构化输入，避免各步骤反复自行解释论文。</w:t>
      </w:r>
    </w:p>
    <w:p w14:paraId="47735DBC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Code Planning Agent 根据用户要求、文件目录和当前运行约束选择应读取的文件，形成修改步骤和验收点。Code Agent 据此协调入口、模型、数据与评估代码，输出能够与当前原文逐项对应的修改差异。</w:t>
      </w:r>
    </w:p>
    <w:p w14:paraId="1B497FD6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Semantic Review Agent 对照需求、任务约束和候选源码检查修改是否真正生效。检查内容包括参数是否被命令覆盖、目标数据集是否正确、设备与环境是否一致，以及是否改变了原有评估语义。具体问题返回编码轮次继续处理。</w:t>
      </w:r>
    </w:p>
    <w:p w14:paraId="6EFA56EC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Repair Agent 在运行失败或代码校验给出具体问题时参与，结合实际异常和相关源码形成修复。程序检查与实际重试继续验证效果。Project Copilot 则面向用户组织问答，读取当前项目与所选运行，并把需要执行的操作交给相应业务流程。</w:t>
      </w:r>
    </w:p>
    <w:p w14:paraId="78463ED9">
      <w:pPr>
        <w:pStyle w:val="4"/>
      </w:pPr>
      <w:r>
        <w:t>3.3 阶段角色与业务功能的关系</w:t>
      </w:r>
    </w:p>
    <w:p w14:paraId="6D511C2A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协作网络页面按 11 个阶段角色展示论文理解、源码定位、代码检查、环境、数据、执行、修复、调参、结果、报告与项目助手。Code Planning Agent 和 Semantic Review Agent 是编码流程中的细分角色。因此，“六类业务功能”“核心模型角色”和“页面阶段节点”是三个观察角度，不能直接按数量互相对应。</w:t>
      </w:r>
    </w:p>
    <w:p w14:paraId="6091206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其中 Source、Environment、Data、Execution、Tuning、Result 和 Report 等阶段主要由工具与程序规则实现，必要时调用模型完成局部判断。当前报告文件由结构化实验记录整理生成，数值比较也由规则执行；这些阶段不需要各自常驻一个大模型。</w:t>
      </w:r>
    </w:p>
    <w:p w14:paraId="3F2C4962">
      <w:pPr>
        <w:pStyle w:val="4"/>
      </w:pPr>
      <w:r>
        <w:t>3.4 任务如何交接</w:t>
      </w:r>
    </w:p>
    <w:p w14:paraId="03F4B39A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论文规范、源码快照、数据与环境状态、命令和结果随运行保存。角色交接时传递这些结构化事实及必要原文，下一阶段继续使用同一运行上下文。编码流程还传递计划、验收点、差异和问题清单。</w:t>
      </w:r>
    </w:p>
    <w:p w14:paraId="5C91D231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这使协作能够形成反馈：论文目标不清楚时回到材料核对；缺数据时补充来源后重新检查；编码校验不通过时把具体问题返回 Code Agent；运行失败时诊断后重试；需要额外调参时先展示计划，再单独确认。</w:t>
      </w:r>
    </w:p>
    <w:p w14:paraId="613FF958">
      <w:pPr>
        <w:keepNext/>
        <w:keepLines/>
        <w:pageBreakBefore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14620" cy="6515735"/>
            <wp:effectExtent l="0" t="0" r="1270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4659" cy="65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399F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图2 任务编排与 Agent 协作关系</w:t>
      </w:r>
    </w:p>
    <w:p w14:paraId="3F507A6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图2中的 A 为运行准备，确认后进入 B 的执行与结果流程；C 在用户提出修改需求时进入。图中“静态与语义校验”同时包含程序检查和 Semantic Review Agent。代码应用、修改后实验及额外搜索分别确认。</w:t>
      </w:r>
    </w:p>
    <w:p w14:paraId="1BD0B77D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图2以通过复现助手发起需求为例；用户也可以从项目页面直接创建任务，由编排器进入同一准备流程。</w:t>
      </w:r>
    </w:p>
    <w:p w14:paraId="34052575">
      <w:pPr>
        <w:pStyle w:val="4"/>
      </w:pPr>
      <w:r>
        <w:t>3.5 一次修改请求中的协作实例</w:t>
      </w:r>
    </w:p>
    <w:p w14:paraId="3668B90C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用户提出“只把 Cora 的隐藏维度从 16 改为 32，其他设置保持不变，在现有环境和 CPU 上运行，另存实验”。编排器先绑定当前运行和源码，Planning Agent 选择训练入口及关联配置，Code Agent 生成修改，校验阶段检查命令是否仍覆盖该参数。</w:t>
      </w:r>
    </w:p>
    <w:p w14:paraId="39D754C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用户确认应用后，再确认仅运行 Cora。新记录保存实际参数、命令、环境和结果，原实验继续保留。复现助手解释结果时，也使用新记录中的实际参数，而不是继续引用旧代码默认值。第四章展示了这一类已经保存的修改实验。</w:t>
      </w:r>
    </w:p>
    <w:p w14:paraId="4B7B3BBC">
      <w:pPr>
        <w:pStyle w:val="3"/>
      </w:pPr>
      <w:bookmarkStart w:id="3" w:name="_Toc13609"/>
      <w:r>
        <w:t>四、核心功能展示与应用效果</w:t>
      </w:r>
      <w:bookmarkEnd w:id="3"/>
    </w:p>
    <w:p w14:paraId="072620D1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本章以 GCN 图卷积网络论文为贯穿案例，从材料归集、自动准备和实验执行，继续展示助手问答、代码修改、结果比较与报告生成。案例信息如下。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2"/>
        <w:gridCol w:w="6063"/>
      </w:tblGrid>
      <w:tr w14:paraId="748ED3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42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0F3BDB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w="6063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3AB541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案例内容</w:t>
            </w:r>
          </w:p>
        </w:tc>
      </w:tr>
      <w:tr w14:paraId="02A7C8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93581A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论文</w:t>
            </w:r>
          </w:p>
        </w:tc>
        <w:tc>
          <w:tcPr>
            <w:tcW w:w="60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D0BA60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Semi-Supervised Classification with Graph Convolutional Networks；Thomas N. Kipf、Max Welling；ICLR 2017</w:t>
            </w:r>
          </w:p>
        </w:tc>
      </w:tr>
      <w:tr w14:paraId="683173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08DF5D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论文与作者源码</w:t>
            </w:r>
          </w:p>
        </w:tc>
        <w:tc>
          <w:tcPr>
            <w:tcW w:w="60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E470C4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论文：https://arxiv.org/abs/1609.02907；作者仓库：https://github.com/tkipf/gcn</w:t>
            </w:r>
          </w:p>
        </w:tc>
      </w:tr>
      <w:tr w14:paraId="68EB47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F079CD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任务与数据集</w:t>
            </w:r>
          </w:p>
        </w:tc>
        <w:tc>
          <w:tcPr>
            <w:tcW w:w="60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288EFA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半监督节点分类；Cora、Citeseer、Pubmed、NELL</w:t>
            </w:r>
          </w:p>
        </w:tc>
      </w:tr>
      <w:tr w14:paraId="0A5803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CA307E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执行环境</w:t>
            </w:r>
          </w:p>
        </w:tc>
        <w:tc>
          <w:tcPr>
            <w:tcW w:w="60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7F4D3C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无 GPU 的 Linux 云端；Python 3.7、TensorFlow 1.15.5 兼容环境</w:t>
            </w:r>
          </w:p>
        </w:tc>
      </w:tr>
      <w:tr w14:paraId="16A48A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09BD9C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已完成实验</w:t>
            </w:r>
          </w:p>
        </w:tc>
        <w:tc>
          <w:tcPr>
            <w:tcW w:w="60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6495470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四数据集作者配置实验；仅运行 Cora 的 hidden1=32 修改实验，分别保留训练结果</w:t>
            </w:r>
          </w:p>
        </w:tc>
      </w:tr>
      <w:tr w14:paraId="197ABD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1071CA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待确认预览</w:t>
            </w:r>
          </w:p>
        </w:tc>
        <w:tc>
          <w:tcPr>
            <w:tcW w:w="60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767FC8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hidden1=48 的源码默认值候选，只展示规划、编码和语义校验，尚未应用或执行</w:t>
            </w:r>
          </w:p>
        </w:tc>
      </w:tr>
    </w:tbl>
    <w:p w14:paraId="62C84095">
      <w:pPr>
        <w:spacing w:after="100" w:line="40" w:lineRule="exact"/>
        <w:ind w:firstLine="0"/>
      </w:pPr>
    </w:p>
    <w:p w14:paraId="57D3351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选择这一案例，是因为它同时涉及旧框架兼容、仓库外数据补齐、逐数据集参数与运行纠错，能够连续展示工作台怎样处理一条真实任务。页面整理于 2026 年 10 月 20 日至 21 日，训练与下载结果沿用已有记录。</w:t>
      </w:r>
    </w:p>
    <w:p w14:paraId="535C107A">
      <w:pPr>
        <w:pStyle w:val="4"/>
      </w:pPr>
      <w:r>
        <w:t>4.1 项目管理与材料归集</w:t>
      </w:r>
    </w:p>
    <w:p w14:paraId="5384580C">
      <w:pPr>
        <w:keepNext/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图3展示项目控制台，其中 GCN 项目集中保存论文材料和多次实验。图4展示该项目的论文文件与补充材料入口。进入项目后，用户可以补充配置、源码、数据或结果，使各 Agent 在同一项目内取得相关资料。</w:t>
      </w:r>
    </w:p>
    <w:p w14:paraId="4080D702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4992370"/>
            <wp:effectExtent l="0" t="0" r="1460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99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88D5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图3 项目控制台中的 GCN 案例</w:t>
      </w:r>
    </w:p>
    <w:p w14:paraId="047B3A5E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2120900"/>
            <wp:effectExtent l="0" t="0" r="1460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429C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图4 GCN 论文材料与补充证据入口</w:t>
      </w:r>
    </w:p>
    <w:p w14:paraId="54E1A426">
      <w:pPr>
        <w:pStyle w:val="4"/>
      </w:pPr>
      <w:r>
        <w:t>4.2 源码、数据与兼容环境准备</w:t>
      </w:r>
    </w:p>
    <w:p w14:paraId="521A1AA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系统取得作者仓库后，为四个数据集分别准备命令，并选择独立兼容环境。图5同时展示仓库地址、逐数据集参数和环境名称，用户可以检查实际使用的代码来源与解释器。</w:t>
      </w:r>
    </w:p>
    <w:p w14:paraId="2CFCA2F6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094605" cy="3923665"/>
            <wp:effectExtent l="0" t="0" r="1079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4870" cy="392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51A8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图5 作者仓库、逐数据集命令与独立环境</w:t>
      </w:r>
    </w:p>
    <w:p w14:paraId="2A7A924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Cora、Citeseer 和 Pubmed 的所需文件来自作者仓库；NELL 的缺失数据沿作者关联说明找到公开地址，取得对应变体的八个训练文件。该次下载约 7 分钟，后续实验成功读取了数据。图6保留来源与适配状态，文件已找到与论文处理版本完全一致仍分别核对。</w:t>
      </w:r>
    </w:p>
    <w:p w14:paraId="05B6D4F9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1135380"/>
            <wp:effectExtent l="0" t="0" r="1460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13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B434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图6 NELL 公开数据来源与适配状态</w:t>
      </w:r>
    </w:p>
    <w:p w14:paraId="2626B93A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图7展示四数据集文件核对、旧 TensorFlow 接口的兼容说明，以及主机和环境的设备检查。设备信息区分硬件、框架与真实运行证据，便于用户判断当前机器适合执行哪些实验。</w:t>
      </w:r>
    </w:p>
    <w:p w14:paraId="21B45112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676910"/>
            <wp:effectExtent l="0" t="0" r="1460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67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33B7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414655"/>
            <wp:effectExtent l="0" t="0" r="14605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1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4E2B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818515"/>
            <wp:effectExtent l="0" t="0" r="1460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81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3017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图7 数据文件、依赖兼容与计算设备检查</w:t>
      </w:r>
    </w:p>
    <w:p w14:paraId="0820F814">
      <w:pPr>
        <w:pStyle w:val="4"/>
      </w:pPr>
      <w:r>
        <w:t>4.3 流水线、终端日志与执行记录</w:t>
      </w:r>
    </w:p>
    <w:p w14:paraId="4E57FAA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图8展示该次四数据集任务的流水线。页面依次组织论文理解、复现准备、环境构建、实验执行和结果验证，并同时显示流程完成度与产出指标数量。图中为已结束的历史运行，100% 表示流程完成；是否接近论文指标还需要查看逐项结果。</w:t>
      </w:r>
    </w:p>
    <w:p w14:paraId="202F624C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818515"/>
            <wp:effectExtent l="0" t="0" r="1460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81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1DEA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502285"/>
            <wp:effectExtent l="0" t="0" r="1460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5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87B1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图8 四数据集实验的自主复现流水线</w:t>
      </w:r>
    </w:p>
    <w:p w14:paraId="1843CCD4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图9为 NELL 训练末段的终端日志节选，可以看到轮次、训练与验证指标、早停，以及最终测试准确率 0.53870。它与后面的结果卡片来自同一运行，用户可以从汇总数值返回原始输出核对。</w:t>
      </w:r>
    </w:p>
    <w:p w14:paraId="2217259C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3242945"/>
            <wp:effectExtent l="0" t="0" r="1460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4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33A8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图9 NELL 终端日志末段与最终测试输出</w:t>
      </w:r>
    </w:p>
    <w:p w14:paraId="73C5537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图10展示带时间的执行记录，保留 Cora、Citeseer、Pubmed、NELL 的顺序及结果整理步骤。流水线用于快速了解阶段，终端日志用于定位实际运行问题，执行记录用于追踪步骤先后，三者共同说明实验经历了什么。</w:t>
      </w:r>
    </w:p>
    <w:p w14:paraId="36535FCD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2369185"/>
            <wp:effectExtent l="0" t="0" r="1460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36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16C4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图10 数据集执行顺序与结果整理记录</w:t>
      </w:r>
    </w:p>
    <w:p w14:paraId="5FA98657">
      <w:pPr>
        <w:pStyle w:val="4"/>
      </w:pPr>
      <w:r>
        <w:t>4.4 复现助手同时回答论文与当前实验问题</w:t>
      </w:r>
    </w:p>
    <w:p w14:paraId="603489DD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已有真实提问同时询问四数据集的论文参数、NELL 数据来源和当前运行状态。图11中的回答区分了 NELL 与其余三个数据集的隐藏维度、dropout 和权重衰减；图12进一步结合文件与结果，说明数据已经就绪、实验已经结束，并保留 NELL 指标仍有偏差的事实。</w:t>
      </w:r>
    </w:p>
    <w:p w14:paraId="0E61EDDC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814070"/>
            <wp:effectExtent l="0" t="0" r="1460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81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6677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图11 助手对不同数据集论文参数的回答节选</w:t>
      </w:r>
    </w:p>
    <w:p w14:paraId="630F6470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1886585"/>
            <wp:effectExtent l="0" t="0" r="14605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88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DCBB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图12 同一回答中的数据来源、文件与当前结果</w:t>
      </w:r>
    </w:p>
    <w:p w14:paraId="3939F20A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在该类混合问题的最终记录中，云端完整回答约 11.47 秒，Windows 约 10.67 秒。系统通过状态提示与分段输出展示处理过程；这两个时间是具体请求的观测，不作为所有问题的固定响应时限。</w:t>
      </w:r>
    </w:p>
    <w:p w14:paraId="05BED21A">
      <w:pPr>
        <w:pStyle w:val="4"/>
      </w:pPr>
      <w:r>
        <w:t>4.5 代码预览、确认与修改后的独立实验</w:t>
      </w:r>
    </w:p>
    <w:p w14:paraId="64C840FD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图13展示实验修改需求的输入方式。用户可以明确数据集、参数、设备和环境，由 Agent 选择关联文件。已有操作要求只把 Cora 的隐藏维度从 16 改为 32，保留其他配置，复用现有环境并另存实验。</w:t>
      </w:r>
    </w:p>
    <w:p w14:paraId="2881774C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1043940"/>
            <wp:effectExtent l="0" t="0" r="1460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04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DBD8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图13 针对 Cora 的代码修改需求示例</w:t>
      </w:r>
    </w:p>
    <w:p w14:paraId="7403257C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该次修改应用后，系统单独运行 Cora。图14中的实际命令包含 --hidden1 32；这次独立实验的测试准确率为 81.2%，原配置的 81.6% 仍保留。这样能够把需求、实际参数、运行范围与结果对应起来。</w:t>
      </w:r>
    </w:p>
    <w:p w14:paraId="1194EAAC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1266190"/>
            <wp:effectExtent l="0" t="0" r="14605" b="139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26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4C83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图14 hidden1=32 修改实验保存的实际命令</w:t>
      </w:r>
    </w:p>
    <w:p w14:paraId="7FCDC23B">
      <w:pPr>
        <w:keepNext/>
        <w:pageBreakBefore/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为展示应用前的交互步骤，本次在上述修改实验上补录了一个新候选：只将 gcn/train.py 中 hidden1 的源码默认值从 32 改为 48。图15展示模型角色的处理记录、逐行差异、预期观察和确认按钮。该候选已经过规划、编码与语义校验，当前停在用户确认之前。</w:t>
      </w:r>
    </w:p>
    <w:p w14:paraId="3A665C65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107305" cy="6515735"/>
            <wp:effectExtent l="0" t="0" r="13335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7827" cy="65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F3E4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图15 待确认的源码变更预览与 Agent 处理记录</w:t>
      </w:r>
    </w:p>
    <w:p w14:paraId="16EA4214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图15是尚未应用的源码候选，不是 hidden1=48 的实验结果。当前已保存的修改实验仍以命令中的 --hidden1 32 为准。预览、代码应用和新实验运行是三个不同步骤，工作台分别保存和确认。</w:t>
      </w:r>
    </w:p>
    <w:p w14:paraId="48649A83">
      <w:pPr>
        <w:pStyle w:val="4"/>
        <w:pageBreakBefore/>
      </w:pPr>
      <w:r>
        <w:t>4.6 调参计划中的范围、依据与预算</w:t>
      </w:r>
    </w:p>
    <w:p w14:paraId="50CD252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图16使用四数据集任务中仍未达目标的 NELL 展示恢复调参计划。页面列出 learning_rate、dropout、weight_decay 和 hidden1 的当前值、候选值与源码位置，并给出最多 6 次、额外 30 分钟的预算及确认条件。</w:t>
      </w:r>
    </w:p>
    <w:p w14:paraId="45286297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4324985" cy="3923665"/>
            <wp:effectExtent l="0" t="0" r="3175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5318" cy="39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2B2C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图16 NELL 有界调参计划与确认条件</w:t>
      </w:r>
    </w:p>
    <w:p w14:paraId="5665AEBE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该记录尚未批准额外搜索，因此这里展示的是参数识别和计划生成。实际执行时保存各次尝试，按验证集选择配置，并保留作者配置结果。没有可核验的组件关闭开关时，页面也会说明缺少消融条件，不把普通参数变化作为消融实验。</w:t>
      </w:r>
    </w:p>
    <w:p w14:paraId="386C5107">
      <w:pPr>
        <w:pStyle w:val="4"/>
        <w:pageBreakBefore/>
      </w:pPr>
      <w:r>
        <w:t>4.7 真实训练、运行纠错与最终结果</w:t>
      </w:r>
    </w:p>
    <w:p w14:paraId="72B8C0A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四数据集作者入口运行均取得最终测试指标，进程退出码均为 0。Cora 与 Citeseer 各运行 200 轮，Pubmed 在 175 轮早停，NELL 在 129 轮早停。图17中的结果卡片与下表对应。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1412"/>
        <w:gridCol w:w="1993"/>
        <w:gridCol w:w="1827"/>
        <w:gridCol w:w="1661"/>
      </w:tblGrid>
      <w:tr w14:paraId="32FB51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2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BA969C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数据集</w:t>
            </w:r>
          </w:p>
        </w:tc>
        <w:tc>
          <w:tcPr>
            <w:tcW w:w="1412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7A45F7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论文目标</w:t>
            </w:r>
          </w:p>
        </w:tc>
        <w:tc>
          <w:tcPr>
            <w:tcW w:w="1993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038CFA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实测测试准确率</w:t>
            </w:r>
          </w:p>
        </w:tc>
        <w:tc>
          <w:tcPr>
            <w:tcW w:w="1827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EA45A1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差值（百分点）</w:t>
            </w:r>
          </w:p>
        </w:tc>
        <w:tc>
          <w:tcPr>
            <w:tcW w:w="1661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DDD277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本次比较</w:t>
            </w:r>
          </w:p>
        </w:tc>
      </w:tr>
      <w:tr w14:paraId="57776A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A7A0B9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Cora</w:t>
            </w:r>
          </w:p>
        </w:tc>
        <w:tc>
          <w:tcPr>
            <w:tcW w:w="141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B4C6E0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81.5%</w:t>
            </w:r>
          </w:p>
        </w:tc>
        <w:tc>
          <w:tcPr>
            <w:tcW w:w="199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4E43DA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81.6%</w:t>
            </w:r>
          </w:p>
        </w:tc>
        <w:tc>
          <w:tcPr>
            <w:tcW w:w="1827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018A9F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+0.10</w:t>
            </w:r>
          </w:p>
        </w:tc>
        <w:tc>
          <w:tcPr>
            <w:tcW w:w="166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DAA6B8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实用容差内</w:t>
            </w:r>
          </w:p>
        </w:tc>
      </w:tr>
      <w:tr w14:paraId="508663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8606A5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Citeseer</w:t>
            </w:r>
          </w:p>
        </w:tc>
        <w:tc>
          <w:tcPr>
            <w:tcW w:w="141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FCB51A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70.3%</w:t>
            </w:r>
          </w:p>
        </w:tc>
        <w:tc>
          <w:tcPr>
            <w:tcW w:w="199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44D058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71.3%</w:t>
            </w:r>
          </w:p>
        </w:tc>
        <w:tc>
          <w:tcPr>
            <w:tcW w:w="1827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8DBBA0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+1.00</w:t>
            </w:r>
          </w:p>
        </w:tc>
        <w:tc>
          <w:tcPr>
            <w:tcW w:w="166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4B775A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实用容差内</w:t>
            </w:r>
          </w:p>
        </w:tc>
      </w:tr>
      <w:tr w14:paraId="13A912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E6996F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Pubmed</w:t>
            </w:r>
          </w:p>
        </w:tc>
        <w:tc>
          <w:tcPr>
            <w:tcW w:w="141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43BB2A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79.0%</w:t>
            </w:r>
          </w:p>
        </w:tc>
        <w:tc>
          <w:tcPr>
            <w:tcW w:w="199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DD45D2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78.6%</w:t>
            </w:r>
          </w:p>
        </w:tc>
        <w:tc>
          <w:tcPr>
            <w:tcW w:w="1827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284496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−0.40</w:t>
            </w:r>
          </w:p>
        </w:tc>
        <w:tc>
          <w:tcPr>
            <w:tcW w:w="166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EF8114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实用容差内</w:t>
            </w:r>
          </w:p>
        </w:tc>
      </w:tr>
      <w:tr w14:paraId="7E76C7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CEF89E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NELL</w:t>
            </w:r>
          </w:p>
        </w:tc>
        <w:tc>
          <w:tcPr>
            <w:tcW w:w="141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E9C1F7">
            <w:pPr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66.0%</w:t>
            </w:r>
          </w:p>
        </w:tc>
        <w:tc>
          <w:tcPr>
            <w:tcW w:w="199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5DD28E">
            <w:pPr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53.87%</w:t>
            </w:r>
          </w:p>
        </w:tc>
        <w:tc>
          <w:tcPr>
            <w:tcW w:w="1827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6848A6">
            <w:pPr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−12.13</w:t>
            </w:r>
          </w:p>
        </w:tc>
        <w:tc>
          <w:tcPr>
            <w:tcW w:w="166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5885342">
            <w:pPr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存在明显差距</w:t>
            </w:r>
          </w:p>
        </w:tc>
      </w:tr>
    </w:tbl>
    <w:p w14:paraId="6F905CFE">
      <w:pPr>
        <w:spacing w:after="100" w:line="40" w:lineRule="exact"/>
        <w:ind w:firstLine="0"/>
      </w:pPr>
    </w:p>
    <w:p w14:paraId="46E880BD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四组完成实际训练，其中三组落在当前实用数值容差内。NELL 加载期间，系统处理关系节点导致的索引问题并重试，训练与自动重试共约 354 秒。图9保留最终输出，图17保留汇总判定；NELL 仍需继续核对预处理、划分和实现细节。</w:t>
      </w:r>
    </w:p>
    <w:p w14:paraId="3C591F09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4859655" cy="3923665"/>
            <wp:effectExtent l="0" t="0" r="1905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9723" cy="39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AA3F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图17 四数据集结果与逐项判定</w:t>
      </w:r>
    </w:p>
    <w:p w14:paraId="5AA9BB46">
      <w:pPr>
        <w:pStyle w:val="4"/>
        <w:pageBreakBefore/>
      </w:pPr>
      <w:r>
        <w:t>4.8 训练曲线与最终比较图</w:t>
      </w:r>
    </w:p>
    <w:p w14:paraId="0453E7EC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图18是该次 Cora 运行的验证准确率与损失曲线，数据来自真实训练日志采样；图19将 Cora 的论文目标与最终测试结果并列。用户可以切换数据集和运行记录，查看同一范围内的过程与结果。</w:t>
      </w:r>
    </w:p>
    <w:p w14:paraId="2642CF3F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3110865" cy="3527425"/>
            <wp:effectExtent l="0" t="0" r="13335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11054" cy="352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29E1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图18 Cora 实际运行的验证准确率与损失曲线</w:t>
      </w:r>
    </w:p>
    <w:p w14:paraId="02B960C1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2863850" cy="2915920"/>
            <wp:effectExtent l="0" t="0" r="1270" b="1016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3928" cy="29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0A8F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图19 Cora 论文目标与实际测试结果的比较图</w:t>
      </w:r>
    </w:p>
    <w:p w14:paraId="6E3C2946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图18展示验证过程，图19和上表展示最终测试结果，两者分区不同。所示训练结果为单次运行，不能直接替代论文中的多次运行均值。</w:t>
      </w:r>
    </w:p>
    <w:p w14:paraId="4D17932C">
      <w:pPr>
        <w:pStyle w:val="4"/>
        <w:pageBreakBefore/>
      </w:pPr>
      <w:r>
        <w:t>4.9 自动生成的复现报告</w:t>
      </w:r>
    </w:p>
    <w:p w14:paraId="7C6EC97E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图20展示四数据集任务完成后的报告入口。报告文件按运行保存，汇集源码来源、环境、实际命令、数据文件、指标比较、修复经过以及尚未达到的目标，便于用户离开页面后继续检查。</w:t>
      </w:r>
    </w:p>
    <w:p w14:paraId="467630A5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774700"/>
            <wp:effectExtent l="0" t="0" r="14605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77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3C59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图20 已生成的复现诊断报告与下载入口</w:t>
      </w:r>
    </w:p>
    <w:p w14:paraId="375B43A9">
      <w:pPr>
        <w:keepNext/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图21节选实际下载的 Markdown 报告并作阅读排版。报告保留四组数值和 NELL 偏差，结论写明当前选定范围尚未全部达标，额外调参与消融是否执行也分别记录。这些内容来自运行记录，不把“流程完成”统一写成“全部论文结论已复现”。</w:t>
      </w:r>
    </w:p>
    <w:p w14:paraId="271296C7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5347970"/>
            <wp:effectExtent l="0" t="0" r="14605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534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F6EA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图21 系统生成的 Markdown 报告内容节选</w:t>
      </w:r>
    </w:p>
    <w:p w14:paraId="47687F85">
      <w:pPr>
        <w:pStyle w:val="4"/>
        <w:pageBreakBefore/>
      </w:pPr>
      <w:r>
        <w:t>4.10 Agent 协作网络与模型调度</w:t>
      </w:r>
    </w:p>
    <w:p w14:paraId="5DF75FBC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图22按逻辑角色展示输入、输出、职责和实现位置，帮助用户理解各阶段之间的交接。图23按编排路由、理解与报告、编码与纠错、需求规划与推理四个能力组配置模型，角色可以共享模型，也可以选择不同型号。</w:t>
      </w:r>
    </w:p>
    <w:p w14:paraId="38A9CDC9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3185795"/>
            <wp:effectExtent l="0" t="0" r="14605" b="146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849E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图22 工作台中的 Agent 协作网络</w:t>
      </w:r>
    </w:p>
    <w:p w14:paraId="39846A73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3188970"/>
            <wp:effectExtent l="0" t="0" r="14605" b="1143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8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889A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图23 按能力组配置模型的实际页面</w:t>
      </w:r>
    </w:p>
    <w:p w14:paraId="739C6C4F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使用统计页面汇总个人项目与任务情况，作为辅助管理入口；实验的具体参数、日志和指标仍在项目及运行页面查看。外部模型与服务的依赖关系见系统设计文档第9.6节。</w:t>
      </w:r>
    </w:p>
    <w:p w14:paraId="24F9BF15">
      <w:pPr>
        <w:pStyle w:val="4"/>
      </w:pPr>
      <w:r>
        <w:t>4.11 账号与个人项目空间</w:t>
      </w:r>
    </w:p>
    <w:p w14:paraId="39175911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图24展示云端账号入口。登录后使用本人的项目空间，注册、改密和恢复密钥找回均有对应页面；项目及其材料和实验按所属用户访问。本地个人模式无需登录。</w:t>
      </w:r>
    </w:p>
    <w:p w14:paraId="3EE2601F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3707765"/>
            <wp:effectExtent l="0" t="0" r="14605" b="1079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0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B515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图24 云端账号入口</w:t>
      </w:r>
    </w:p>
    <w:p w14:paraId="043C291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已有软件检查记录包括 Windows 后端 872 项通过、1 项平台相关跳过，前端 39 项通过及生产构建成功，Linux 也完成了相关准备、隔离与助手回归。它们用于支持软件行为检查；本章的问答、训练、待确认预览和报告展示分别说明各自完成到哪一步。</w:t>
      </w:r>
    </w:p>
    <w:p w14:paraId="73D39363">
      <w:pPr>
        <w:pStyle w:val="3"/>
      </w:pPr>
      <w:bookmarkStart w:id="4" w:name="_Toc18448"/>
      <w:r>
        <w:t>五、创新点与技术特点</w:t>
      </w:r>
      <w:bookmarkEnd w:id="4"/>
    </w:p>
    <w:p w14:paraId="098EA8AA">
      <w:pPr>
        <w:pStyle w:val="4"/>
      </w:pPr>
      <w:r>
        <w:t>5.1 将通用智能能力组织成论文复现工作流</w:t>
      </w:r>
    </w:p>
    <w:p w14:paraId="06FEDA27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ReproMind 将论文理解、代码规划、修改校验和运行纠错组织为有状态的协作流程。Agent 之间交接实验规范、任务约束与问题清单，工具和规则把规划落实为真实文件、命令及结果，用户能够检查每一阶段产物。</w:t>
      </w:r>
    </w:p>
    <w:p w14:paraId="664D6E6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这一设计使科研初学者不必先编写完整的复现管理脚本，再开始使用智能助手。通用模型可以替换，论文复现所需的项目关系、确认流程与结果语义继续由系统维护。</w:t>
      </w:r>
    </w:p>
    <w:p w14:paraId="1D3D44DF">
      <w:pPr>
        <w:pStyle w:val="4"/>
      </w:pPr>
      <w:r>
        <w:t>5.2 让代码修改遵守实验约束</w:t>
      </w:r>
    </w:p>
    <w:p w14:paraId="7E2E469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修改范围不仅是代码文件，还包括目标数据集、环境、设备和评估方式。规划与语义校验共同检查这些条件，应用和运行分别确认，新实验独立保存。这样能够减少“代码改了，但参数未生效”或“重跑了错误数据集”等科研场景问题。</w:t>
      </w:r>
    </w:p>
    <w:p w14:paraId="0AE44D0E">
      <w:pPr>
        <w:pStyle w:val="4"/>
      </w:pPr>
      <w:r>
        <w:t>5.3 将结果解释建立在实际记录上</w:t>
      </w:r>
    </w:p>
    <w:p w14:paraId="21BD14E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系统区分论文目标、作者默认值和实际执行参数，也区分训练、验证和测试指标。调参依照验证集，图表与报告绑定具体运行，复现助手解释时继续读取这些事实。结果接近和配置变化分别表达，便于用户作出后续判断。</w:t>
      </w:r>
    </w:p>
    <w:p w14:paraId="7C5B216E">
      <w:pPr>
        <w:pStyle w:val="4"/>
      </w:pPr>
      <w:r>
        <w:t>5.4 将本机条件纳入自动准备</w:t>
      </w:r>
    </w:p>
    <w:p w14:paraId="3B83363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项目环境与工作台环境分离，准备过程检查系统、解释器、依赖与设备，并优先复用兼容环境。数据来源、下载恢复和运行诊断也进入同一任务，使自动化能够适应真实设备和网络条件。</w:t>
      </w:r>
    </w:p>
    <w:p w14:paraId="0E59931F">
      <w:pPr>
        <w:pStyle w:val="3"/>
      </w:pPr>
      <w:bookmarkStart w:id="5" w:name="_Toc23697"/>
      <w:r>
        <w:t>六、技术方案与部署方式</w:t>
      </w:r>
      <w:bookmarkEnd w:id="5"/>
    </w:p>
    <w:p w14:paraId="767B532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前端采用 Vue 3 与 TypeScript，后端采用 FastAPI，Agent 由异步复现引擎和项目编码流程调度。模型通过移动云 MoMA 或通用兼容接口接入；默认由 SQLite 保存业务状态，项目目录保存材料、源码、日志和结果。</w:t>
      </w:r>
    </w:p>
    <w:p w14:paraId="073656AF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本地运行工作台需要 Python 3.11 或 3.12、Node.js 22.12 及以上和 Git。完整实验还需 Conda，以及论文要求的数据和设备。构建后的前端由后端同源提供，默认访问 http://127.0.0.1:8010。数据库随应用初始化，无需另装数据库服务器。</w:t>
      </w:r>
    </w:p>
    <w:p w14:paraId="58C15657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在线地址为 https://121.196.217.76，源码仓库为 https://github.com/El-psy-k-congroo/ReproMind。当前展示服务器为 2 核、2GB 内存、无 GPU，保留完整业务入口，按资源条件串行调度外部执行。大型训练和必须 CUDA 的实验适合在有对应设备的本地机器部署。</w:t>
      </w:r>
    </w:p>
    <w:p w14:paraId="6BE9E47A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公网模式采用 HTTPS、服务端会话、项目归属校验和 Linux 执行隔离。密钥、数据库、数据集、模型权重和个人运行文件由部署者管理，不随应用源码发布。系统设计文档给出数据库位置、配置和安装细节。</w:t>
      </w:r>
    </w:p>
    <w:p w14:paraId="1A43F551">
      <w:pPr>
        <w:pStyle w:val="3"/>
      </w:pPr>
      <w:bookmarkStart w:id="6" w:name="_Toc28699"/>
      <w:r>
        <w:t>七、应用价值</w:t>
      </w:r>
      <w:bookmarkEnd w:id="6"/>
    </w:p>
    <w:p w14:paraId="00DC2114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对研究生与科研初学者，ReproMind 提供了从论文到实验的连续入口，能够看到系统为什么选择某个环境、使用哪些数据以及错误发生在哪里。助手与实际工程状态关联，有助于把建议落实到具体操作。</w:t>
      </w:r>
    </w:p>
    <w:p w14:paraId="5D37BFCE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对研究人员，项目记录减少了源码、参数和结果分散带来的整理负担，修改后的实验可以与原配置比较。对科研教学，材料、运行过程、配置和指标能够共同用于讲解和检查，使学生不仅提交一个数值，也能说明得到它的过程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709" w:footer="709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16A70">
    <w:pPr>
      <w:pStyle w:val="24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仿宋"/>
        <w:i w:val="0"/>
        <w:color w:val="000000"/>
        <w:sz w:val="24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931CF">
    <w:pPr>
      <w:pStyle w:val="25"/>
      <w:ind w:firstLine="0"/>
      <w:jc w:val="center"/>
    </w:pPr>
    <w:r>
      <w:rPr>
        <w:rFonts w:ascii="Times New Roman" w:hAnsi="Times New Roman" w:eastAsia="仿宋"/>
        <w:i w:val="0"/>
        <w:color w:val="000000"/>
        <w:sz w:val="21"/>
      </w:rPr>
      <w:t>ReproMind  项目说明文档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42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40" w:line="312" w:lineRule="exact"/>
      <w:ind w:firstLine="480"/>
    </w:pPr>
    <w:rPr>
      <w:rFonts w:ascii="Times New Roman" w:hAnsi="Times New Roman" w:eastAsia="仿宋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80" w:after="180" w:line="364" w:lineRule="exact"/>
      <w:ind w:firstLine="0"/>
      <w:outlineLvl w:val="0"/>
    </w:pPr>
    <w:rPr>
      <w:rFonts w:ascii="Times New Roman" w:hAnsi="Times New Roman" w:eastAsia="仿宋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100" w:line="312" w:lineRule="exact"/>
      <w:ind w:firstLine="0"/>
      <w:outlineLvl w:val="1"/>
    </w:pPr>
    <w:rPr>
      <w:rFonts w:ascii="Times New Roman" w:hAnsi="Times New Roman" w:eastAsia="仿宋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 w:line="312" w:lineRule="exact"/>
      <w:ind w:firstLine="0"/>
      <w:outlineLvl w:val="2"/>
    </w:pPr>
    <w:rPr>
      <w:rFonts w:ascii="Times New Roman" w:hAnsi="Times New Roman" w:eastAsia="仿宋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  <w:ind w:firstLine="0"/>
    </w:pPr>
    <w:rPr>
      <w:rFonts w:ascii="Times New Roman" w:hAnsi="Times New Roman" w:eastAsia="仿宋"/>
      <w:bCs/>
      <w:color w:val="000000"/>
      <w:sz w:val="21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  <w:ind w:firstLine="0"/>
    </w:pPr>
    <w:rPr>
      <w:rFonts w:ascii="Times New Roman" w:hAnsi="Times New Roman" w:eastAsia="仿宋"/>
      <w:color w:val="000000"/>
      <w:sz w:val="21"/>
    </w:r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  <w:ind w:firstLine="0"/>
    </w:pPr>
    <w:rPr>
      <w:rFonts w:ascii="Times New Roman" w:hAnsi="Times New Roman" w:eastAsia="仿宋"/>
      <w:color w:val="000000"/>
      <w:sz w:val="21"/>
    </w:r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pPr>
      <w:keepNext/>
      <w:keepLines/>
      <w:spacing w:before="0" w:after="200" w:line="416" w:lineRule="exact"/>
      <w:ind w:firstLine="0"/>
    </w:pPr>
    <w:rPr>
      <w:rFonts w:ascii="Times New Roman" w:hAnsi="Times New Roman" w:eastAsia="仿宋" w:cstheme="majorBidi"/>
      <w:b/>
      <w:iCs/>
      <w:color w:val="000000"/>
      <w:spacing w:val="15"/>
      <w:sz w:val="32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keepNext/>
      <w:keepLines/>
      <w:spacing w:before="0" w:after="280" w:line="416" w:lineRule="exact"/>
      <w:ind w:firstLine="0"/>
      <w:contextualSpacing/>
    </w:pPr>
    <w:rPr>
      <w:rFonts w:ascii="Times New Roman" w:hAnsi="Times New Roman" w:eastAsia="仿宋" w:cstheme="majorBidi"/>
      <w:b/>
      <w:color w:val="000000"/>
      <w:spacing w:val="5"/>
      <w:kern w:val="28"/>
      <w:sz w:val="3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TOC 1"/>
    <w:uiPriority w:val="0"/>
    <w:pPr>
      <w:spacing w:after="60" w:line="420" w:lineRule="exact"/>
      <w:ind w:firstLine="0"/>
    </w:pPr>
    <w:rPr>
      <w:rFonts w:ascii="Times New Roman" w:hAnsi="Times New Roman" w:eastAsia="仿宋" w:cstheme="minorBidi"/>
      <w:color w:val="000000"/>
      <w:sz w:val="24"/>
      <w:szCs w:val="22"/>
      <w:lang w:val="en-US" w:eastAsia="en-US" w:bidi="ar-SA"/>
    </w:rPr>
  </w:style>
  <w:style w:type="paragraph" w:customStyle="1" w:styleId="166">
    <w:name w:val="TOC 2"/>
    <w:uiPriority w:val="0"/>
    <w:pPr>
      <w:spacing w:after="60" w:line="420" w:lineRule="exact"/>
      <w:ind w:firstLine="0"/>
    </w:pPr>
    <w:rPr>
      <w:rFonts w:ascii="Times New Roman" w:hAnsi="Times New Roman" w:eastAsia="仿宋" w:cstheme="minorBidi"/>
      <w:color w:val="000000"/>
      <w:sz w:val="24"/>
      <w:szCs w:val="22"/>
      <w:lang w:val="en-US" w:eastAsia="en-US" w:bidi="ar-SA"/>
    </w:rPr>
  </w:style>
  <w:style w:type="paragraph" w:customStyle="1" w:styleId="167">
    <w:name w:val="TOC 3"/>
    <w:uiPriority w:val="0"/>
    <w:pPr>
      <w:spacing w:after="60" w:line="420" w:lineRule="exact"/>
      <w:ind w:firstLine="0"/>
    </w:pPr>
    <w:rPr>
      <w:rFonts w:ascii="Times New Roman" w:hAnsi="Times New Roman" w:eastAsia="仿宋" w:cstheme="minorBidi"/>
      <w:color w:val="000000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numbering" Target="numbering.xml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彭基轩</dc:creator>
  <dc:description>依据项目实现与实际运行记录整理</dc:description>
  <cp:keywords>开源论文复现, 多智能体, 科研工作台, ReproMind</cp:keywords>
  <cp:lastModifiedBy>Elpsycongroo</cp:lastModifiedBy>
  <dcterms:modified xsi:type="dcterms:W3CDTF">2026-10-21T04:17:57Z</dcterms:modified>
  <dc:subject>苏州大学 2026 仓颉杯 综合系统赛道</dc:subject>
  <dc:title>ReproMind：基于多智能体协同的开源论文复现系统 项目说明文档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253D55C0B6834E5FAD8029AC8CD020FF_12</vt:lpwstr>
  </property>
</Properties>
</file>