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20" w:before="0"/><w:jc w:val="center"/></w:pPr><w:r><w:rPr><w:rFonts w:ascii="Arial" w:cs="Arial" w:eastAsia="Arial" w:hAnsi="Arial"/><w:b/><w:bCs/><w:color w:val="1F4E79"/><w:sz w:val="36"/><w:szCs w:val="36"/></w:rPr><w:t xml:space="preserve">Resolución de Ecuaciones Diferenciales Parciales</w:t></w:r></w:p><w:p><w:pPr><w:spacing w:after="120" w:before="0"/><w:jc w:val="center"/></w:pPr><w:r><w:rPr><w:rFonts w:ascii="Arial" w:cs="Arial" w:eastAsia="Arial" w:hAnsi="Arial"/><w:b/><w:bCs/><w:color w:val="1F4E79"/><w:sz w:val="36"/><w:szCs w:val="36"/></w:rPr><w:t xml:space="preserve">mediante Redes Neuronales Informadas por la Física</w:t></w:r></w:p><w:p><w:pPr><w:spacing w:after="60" w:before="60"/><w:jc w:val="center"/></w:pPr><w:r><w:rPr><w:rFonts w:ascii="Arial" w:cs="Arial" w:eastAsia="Arial" w:hAnsi="Arial"/><w:i/><w:iCs/><w:color w:val="2E75B6"/><w:sz w:val="26"/><w:szCs w:val="26"/></w:rPr><w:t xml:space="preserve">Avance de Proyecto</w:t></w:r></w:p><w:p><w:pPr><w:spacing w:after="400" w:before="60"/><w:jc w:val="center"/></w:pPr><w:r><w:rPr><w:rFonts w:ascii="Arial" w:cs="Arial" w:eastAsia="Arial" w:hAnsi="Arial"/><w:color w:val="888888"/><w:sz w:val="20"/><w:szCs w:val="20"/></w:rPr><w:t xml:space="preserve">24 de abril de 2026</w:t></w:r></w:p><w:p><w:pPr><w:pBdr><w:bottom w:val="single" w:color="CCCCCC" w:sz="4" w:space="1"/></w:pBdr><w:spacing w:after="200" w:before="200"/></w:pPr><w:r><w:t xml:space="preserve"></w:t></w:r></w:p><w:p><w:pPr><w:pStyle w:val="Heading1"/><w:spacing w:after="180" w:before="360"/></w:pPr><w:r><w:rPr><w:rFonts w:ascii="Arial" w:cs="Arial" w:eastAsia="Arial" w:hAnsi="Arial"/><w:b/><w:bCs/><w:color w:val="1F4E79"/><w:sz w:val="28"/><w:szCs w:val="28"/></w:rPr><w:t xml:space="preserve">1. Planteamiento del Problema</w:t></w:r></w:p><w:p><w:pPr><w:pStyle w:val="Heading2"/><w:spacing w:after="140" w:before="280"/></w:pPr><w:r><w:rPr><w:rFonts w:ascii="Arial" w:cs="Arial" w:eastAsia="Arial" w:hAnsi="Arial"/><w:b/><w:bCs/><w:color w:val="2E75B6"/><w:sz w:val="24"/><w:szCs w:val="24"/></w:rPr><w:t xml:space="preserve">1.1 Descripción física</w:t></w:r></w:p><w:p><w:pPr><w:spacing w:after="80" w:before="80" w:line="276"/><w:jc w:val="both"/></w:pPr><w:r><w:rPr><w:rFonts w:ascii="Arial" w:cs="Arial" w:eastAsia="Arial" w:hAnsi="Arial"/><w:sz w:val="22"/><w:szCs w:val="22"/></w:rPr><w:t xml:space="preserve">Se considera la conducción de calor en una barra delgada unidimensional de longitud L, sin fuentes internas de calor. La temperatura en cada punto de la barra evoluciona a lo largo del tiempo como consecuencia del transporte difusivo de energía térmica. Este fenómeno, conocido como difusión de calor, es uno de los problemas parabólicos más fundamentales en física matemática y sirve como banco de prueba estándar para métodos numéricos y de aprendizaje automático.</w:t></w:r></w:p><w:p><w:r><w:t xml:space="preserve"> </w:t></w:r></w:p><w:p><w:pPr><w:spacing w:after="80" w:before="80" w:line="276"/><w:jc w:val="both"/></w:pPr><w:r><w:rPr><w:rFonts w:ascii="Arial" w:cs="Arial" w:eastAsia="Arial" w:hAnsi="Arial"/><w:sz w:val="22"/><w:szCs w:val="22"/></w:rPr><w:t xml:space="preserve">El sistema físico puede describirse bajo las siguientes hipótesis simplificadoras:</w:t></w:r></w:p><w:p><w:pPr><w:pStyle w:val="ListParagraph"/><w:numPr><w:ilvl w:val="0"/><w:numId w:val="2"/></w:numPr><w:spacing w:after="60" w:before="60" w:line="276"/><w:jc w:val="both"/></w:pPr><w:r><w:rPr><w:rFonts w:ascii="Arial" w:cs="Arial" w:eastAsia="Arial" w:hAnsi="Arial"/><w:sz w:val="22"/><w:szCs w:val="22"/></w:rPr><w:t xml:space="preserve">La barra es homogénea e isótropa, con propiedades térmicas constantes.</w:t></w:r></w:p><w:p><w:pPr><w:pStyle w:val="ListParagraph"/><w:numPr><w:ilvl w:val="0"/><w:numId w:val="2"/></w:numPr><w:spacing w:after="60" w:before="60" w:line="276"/><w:jc w:val="both"/></w:pPr><w:r><w:rPr><w:rFonts w:ascii="Arial" w:cs="Arial" w:eastAsia="Arial" w:hAnsi="Arial"/><w:sz w:val="22"/><w:szCs w:val="22"/></w:rPr><w:t xml:space="preserve">No hay pérdidas de calor laterales (problema estrictamente 1D).</w:t></w:r></w:p><w:p><w:pPr><w:pStyle w:val="ListParagraph"/><w:numPr><w:ilvl w:val="0"/><w:numId w:val="2"/></w:numPr><w:spacing w:after="60" w:before="60" w:line="276"/><w:jc w:val="both"/></w:pPr><w:r><w:rPr><w:rFonts w:ascii="Arial" w:cs="Arial" w:eastAsia="Arial" w:hAnsi="Arial"/><w:sz w:val="22"/><w:szCs w:val="22"/></w:rPr><w:t xml:space="preserve">El coeficiente de difusión térmica α es constante y conocido.</w:t></w:r></w:p><w:p><w:pPr><w:pStyle w:val="ListParagraph"/><w:numPr><w:ilvl w:val="0"/><w:numId w:val="2"/></w:numPr><w:spacing w:after="60" w:before="60" w:line="276"/><w:jc w:val="both"/></w:pPr><w:r><w:rPr><w:rFonts w:ascii="Arial" w:cs="Arial" w:eastAsia="Arial" w:hAnsi="Arial"/><w:sz w:val="22"/><w:szCs w:val="22"/></w:rPr><w:t xml:space="preserve">Las condiciones de frontera son de tipo Dirichlet (temperatura prescrita en los extremos).</w:t></w:r></w:p><w:p><w:r><w:t xml:space="preserve"> </w:t></w:r></w:p><w:p><w:pPr><w:pStyle w:val="Heading2"/><w:spacing w:after="140" w:before="280"/></w:pPr><w:r><w:rPr><w:rFonts w:ascii="Arial" w:cs="Arial" w:eastAsia="Arial" w:hAnsi="Arial"/><w:b/><w:bCs/><w:color w:val="2E75B6"/><w:sz w:val="24"/><w:szCs w:val="24"/></w:rPr><w:t xml:space="preserve">1.2 Formulación matemática</w:t></w:r></w:p><w:p><w:pPr><w:spacing w:after="80" w:before="80" w:line="276"/><w:jc w:val="both"/></w:pPr><w:r><w:rPr><w:rFonts w:ascii="Arial" w:cs="Arial" w:eastAsia="Arial" w:hAnsi="Arial"/><w:sz w:val="22"/><w:szCs w:val="22"/></w:rPr><w:t xml:space="preserve">Sea u(x, t) la temperatura en la posición x ∈ [0, L] y en el instante t ∈ [0, T]. La dinámica del sistema está gobernada por la ecuación de calor, también denominada ecuación de difusión:</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∂u/∂t = α · ∂²u/∂x²,     (x, t) ∈ (0, L) × (0, T)</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(1.1)</w:t></w:r></w:p></w:tc></w:tr></w:tbl><w:p><w:r><w:t xml:space="preserve"> </w:t></w:r></w:p><w:p><w:pPr><w:spacing w:after="80" w:before="80" w:line="276"/><w:jc w:val="both"/></w:pPr><w:r><w:rPr><w:rFonts w:ascii="Arial" w:cs="Arial" w:eastAsia="Arial" w:hAnsi="Arial"/><w:sz w:val="22"/><w:szCs w:val="22"/></w:rPr><w:t xml:space="preserve">donde α &gt; 0 es la difusividad térmica del material (m²/s). La ecuación (1.1) establece que la tasa de cambio temporal de la temperatura en un punto es proporcional a la curvatura espacial de la distribución de temperatura. Matemáticamente, es una </w:t></w:r><w:r><w:rPr><w:rFonts w:ascii="Arial" w:cs="Arial" w:eastAsia="Arial" w:hAnsi="Arial"/><w:b/><w:bCs/><w:sz w:val="22"/><w:szCs w:val="22"/></w:rPr><w:t xml:space="preserve">EDP lineal, de segundo orden, parabólica</w:t></w:r><w:r><w:rPr><w:rFonts w:ascii="Arial" w:cs="Arial" w:eastAsia="Arial" w:hAnsi="Arial"/><w:sz w:val="22"/><w:szCs w:val="22"/></w:rPr><w:t xml:space="preserve">.</w:t></w:r></w:p><w:p><w:r><w:t xml:space="preserve"> </w:t></w:r></w:p><w:p><w:pPr><w:pStyle w:val="Heading2"/><w:spacing w:after="140" w:before="280"/></w:pPr><w:r><w:rPr><w:rFonts w:ascii="Arial" w:cs="Arial" w:eastAsia="Arial" w:hAnsi="Arial"/><w:b/><w:bCs/><w:color w:val="2E75B6"/><w:sz w:val="24"/><w:szCs w:val="24"/></w:rPr><w:t xml:space="preserve">1.3 Condiciones auxiliares</w:t></w:r></w:p><w:p><w:pPr><w:spacing w:after="80" w:before="80" w:line="276"/><w:jc w:val="both"/></w:pPr><w:r><w:rPr><w:rFonts w:ascii="Arial" w:cs="Arial" w:eastAsia="Arial" w:hAnsi="Arial"/><w:sz w:val="22"/><w:szCs w:val="22"/></w:rPr><w:t xml:space="preserve">Para que el problema de valor inicial y de frontera (PVIF) esté bien planteado en el sentido de Hadamard, se requieren:</w:t></w:r></w:p><w:p><w:r><w:t xml:space="preserve"> </w:t></w:r></w:p><w:p><w:pPr><w:pStyle w:val="Heading3"/><w:spacing w:after="100" w:before="200"/></w:pPr><w:r><w:rPr><w:rFonts w:ascii="Arial" w:cs="Arial" w:eastAsia="Arial" w:hAnsi="Arial"/><w:b/><w:bCs/><w:color w:val="404040"/><w:sz w:val="22"/><w:szCs w:val="22"/></w:rPr><w:t xml:space="preserve">Condición inicial</w:t></w:r></w:p><w:p><w:pPr><w:spacing w:after="80" w:before="80" w:line="276"/><w:jc w:val="both"/></w:pPr><w:r><w:rPr><w:rFonts w:ascii="Arial" w:cs="Arial" w:eastAsia="Arial" w:hAnsi="Arial"/><w:sz w:val="22"/><w:szCs w:val="22"/></w:rPr><w:t xml:space="preserve">Se especifica la distribución de temperatura en t = 0:</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u(x, 0) = u₀(x),     x ∈ [0, L]</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(1.2)</w:t></w:r></w:p></w:tc></w:tr></w:tbl><w:p><w:r><w:t xml:space="preserve"> </w:t></w:r></w:p><w:p><w:pPr><w:spacing w:after="80" w:before="80" w:line="276"/><w:jc w:val="both"/></w:pPr><w:r><w:rPr><w:rFonts w:ascii="Arial" w:cs="Arial" w:eastAsia="Arial" w:hAnsi="Arial"/><w:sz w:val="22"/><w:szCs w:val="22"/></w:rPr><w:t xml:space="preserve">Para este proyecto se selecciona:</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u₀(x) = sin(πx/L)</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(1.3)</w:t></w:r></w:p></w:tc></w:tr></w:tbl><w:p><w:pPr><w:spacing w:after="80" w:before="80" w:line="276"/><w:jc w:val="both"/></w:pPr><w:r><w:rPr><w:rFonts w:ascii="Arial" w:cs="Arial" w:eastAsia="Arial" w:hAnsi="Arial"/><w:sz w:val="22"/><w:szCs w:val="22"/></w:rPr><w:t xml:space="preserve">Esta elección es particularmente conveniente porque la ecuación de calor admite solución analítica exacta bajo esta condición inicial, lo que permite validar cuantitativamente ambos métodos de solución.</w:t></w:r></w:p><w:p><w:r><w:t xml:space="preserve"> </w:t></w:r></w:p><w:p><w:pPr><w:pStyle w:val="Heading3"/><w:spacing w:after="100" w:before="200"/></w:pPr><w:r><w:rPr><w:rFonts w:ascii="Arial" w:cs="Arial" w:eastAsia="Arial" w:hAnsi="Arial"/><w:b/><w:bCs/><w:color w:val="404040"/><w:sz w:val="22"/><w:szCs w:val="22"/></w:rPr><w:t xml:space="preserve">Condiciones de frontera (Dirichlet homogéneas)</w:t></w:r></w:p><w:p><w:pPr><w:spacing w:after="80" w:before="80" w:line="276"/><w:jc w:val="both"/></w:pPr><w:r><w:rPr><w:rFonts w:ascii="Arial" w:cs="Arial" w:eastAsia="Arial" w:hAnsi="Arial"/><w:sz w:val="22"/><w:szCs w:val="22"/></w:rPr><w:t xml:space="preserve">Los extremos de la barra se mantienen a temperatura nula:</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u(0, t) = 0,     t ∈ [0, T]</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(1.4)</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u(L, t) = 0,     t ∈ [0, T]</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(1.5)</w:t></w:r></w:p></w:tc></w:tr></w:tbl><w:p><w:r><w:t xml:space="preserve"> </w:t></w:r></w:p><w:p><w:pPr><w:pStyle w:val="Heading2"/><w:spacing w:after="140" w:before="280"/></w:pPr><w:r><w:rPr><w:rFonts w:ascii="Arial" w:cs="Arial" w:eastAsia="Arial" w:hAnsi="Arial"/><w:b/><w:bCs/><w:color w:val="2E75B6"/><w:sz w:val="24"/><w:szCs w:val="24"/></w:rPr><w:t xml:space="preserve">1.4 Parámetros del problema</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500"/><w:gridCol w:w="2200"/><w:gridCol w:w="2200"/><w:gridCol w:w="2460"/></w:tblGrid><w:tr><w:trPr><w:tblHeader/></w:trPr><w:tc><w:tcPr><w:tcW w:type="dxa" w:w="2500"/><w:tcBorders><w:top w:val="single" w:color="1F4E79" w:sz="4"/><w:left w:val="single" w:color="1F4E79" w:sz="4"/><w:bottom w:val="single" w:color="1F4E79" w:sz="4"/><w:right w:val="single" w:color="1F4E79" w:sz="4"/></w:tcBorders><w:shd w:fill="1F4E79" w:val="clear"/><w:tcMar><w:top w:type="dxa" w:w="100"/><w:left w:type="dxa" w:w="150"/><w:bottom w:type="dxa" w:w="100"/><w:right w:type="dxa" w:w="150"/></w:tcMar></w:tcPr><w:p><w:pPr><w:jc w:val="center"/></w:pPr><w:r><w:rPr><w:rFonts w:ascii="Arial" w:cs="Arial" w:eastAsia="Arial" w:hAnsi="Arial"/><w:b/><w:bCs/><w:color w:val="FFFFFF"/><w:sz w:val="20"/><w:szCs w:val="20"/></w:rPr><w:t xml:space="preserve">Parámetro</w:t></w:r></w:p></w:tc><w:tc><w:tcPr><w:tcW w:type="dxa" w:w="2200"/><w:tcBorders><w:top w:val="single" w:color="1F4E79" w:sz="4"/><w:left w:val="single" w:color="1F4E79" w:sz="4"/><w:bottom w:val="single" w:color="1F4E79" w:sz="4"/><w:right w:val="single" w:color="1F4E79" w:sz="4"/></w:tcBorders><w:shd w:fill="1F4E79" w:val="clear"/><w:tcMar><w:top w:type="dxa" w:w="100"/><w:left w:type="dxa" w:w="150"/><w:bottom w:type="dxa" w:w="100"/><w:right w:type="dxa" w:w="150"/></w:tcMar></w:tcPr><w:p><w:pPr><w:jc w:val="center"/></w:pPr><w:r><w:rPr><w:rFonts w:ascii="Arial" w:cs="Arial" w:eastAsia="Arial" w:hAnsi="Arial"/><w:b/><w:bCs/><w:color w:val="FFFFFF"/><w:sz w:val="20"/><w:szCs w:val="20"/></w:rPr><w:t xml:space="preserve">Símbolo</w:t></w:r></w:p></w:tc><w:tc><w:tcPr><w:tcW w:type="dxa" w:w="2200"/><w:tcBorders><w:top w:val="single" w:color="1F4E79" w:sz="4"/><w:left w:val="single" w:color="1F4E79" w:sz="4"/><w:bottom w:val="single" w:color="1F4E79" w:sz="4"/><w:right w:val="single" w:color="1F4E79" w:sz="4"/></w:tcBorders><w:shd w:fill="1F4E79" w:val="clear"/><w:tcMar><w:top w:type="dxa" w:w="100"/><w:left w:type="dxa" w:w="150"/><w:bottom w:type="dxa" w:w="100"/><w:right w:type="dxa" w:w="150"/></w:tcMar></w:tcPr><w:p><w:pPr><w:jc w:val="center"/></w:pPr><w:r><w:rPr><w:rFonts w:ascii="Arial" w:cs="Arial" w:eastAsia="Arial" w:hAnsi="Arial"/><w:b/><w:bCs/><w:color w:val="FFFFFF"/><w:sz w:val="20"/><w:szCs w:val="20"/></w:rPr><w:t xml:space="preserve">Valor</w:t></w:r></w:p></w:tc><w:tc><w:tcPr><w:tcW w:type="dxa" w:w="2460"/><w:tcBorders><w:top w:val="single" w:color="1F4E79" w:sz="4"/><w:left w:val="single" w:color="1F4E79" w:sz="4"/><w:bottom w:val="single" w:color="1F4E79" w:sz="4"/><w:right w:val="single" w:color="1F4E79" w:sz="4"/></w:tcBorders><w:shd w:fill="1F4E79" w:val="clear"/><w:tcMar><w:top w:type="dxa" w:w="100"/><w:left w:type="dxa" w:w="150"/><w:bottom w:type="dxa" w:w="100"/><w:right w:type="dxa" w:w="150"/></w:tcMar></w:tcPr><w:p><w:pPr><w:jc w:val="center"/></w:pPr><w:r><w:rPr><w:rFonts w:ascii="Arial" w:cs="Arial" w:eastAsia="Arial" w:hAnsi="Arial"/><w:b/><w:bCs/><w:color w:val="FFFFFF"/><w:sz w:val="20"/><w:szCs w:val="20"/></w:rPr><w:t xml:space="preserve">Unidades</w:t></w:r></w:p></w:tc></w:tr><w:tr><w:tc><w:tcPr><w:tcW w:type="dxa" w:w="25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left"/></w:pPr><w:r><w:rPr><w:rFonts w:ascii="Arial" w:cs="Arial" w:eastAsia="Arial" w:hAnsi="Arial"/><w:i w:val="false"/><w:iCs w:val="false"/><w:sz w:val="20"/><w:szCs w:val="20"/></w:rPr><w:t xml:space="preserve">Longitud de la barra</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Cambria Math" w:cs="Cambria Math" w:eastAsia="Cambria Math" w:hAnsi="Cambria Math"/><w:i/><w:iCs/><w:sz w:val="20"/><w:szCs w:val="20"/></w:rPr><w:t xml:space="preserve">L</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i w:val="false"/><w:iCs w:val="false"/><w:sz w:val="20"/><w:szCs w:val="20"/></w:rPr><w:t xml:space="preserve">1.0</w:t></w:r></w:p></w:tc><w:tc><w:tcPr><w:tcW w:type="dxa" w:w="246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Cambria Math" w:cs="Cambria Math" w:eastAsia="Cambria Math" w:hAnsi="Cambria Math"/><w:i w:val="false"/><w:iCs w:val="false"/><w:sz w:val="20"/><w:szCs w:val="20"/></w:rPr><w:t xml:space="preserve">m</w:t></w:r></w:p></w:tc></w:tr><w:tr><w:tc><w:tcPr><w:tcW w:type="dxa" w:w="25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left"/></w:pPr><w:r><w:rPr><w:rFonts w:ascii="Arial" w:cs="Arial" w:eastAsia="Arial" w:hAnsi="Arial"/><w:i w:val="false"/><w:iCs w:val="false"/><w:sz w:val="20"/><w:szCs w:val="20"/></w:rPr><w:t xml:space="preserve">Tiempo total de simulación</w:t></w:r></w:p></w:tc><w:tc><w:tcPr><w:tcW w:type="dxa" w:w="2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Cambria Math" w:cs="Cambria Math" w:eastAsia="Cambria Math" w:hAnsi="Cambria Math"/><w:i/><w:iCs/><w:sz w:val="20"/><w:szCs w:val="20"/></w:rPr><w:t xml:space="preserve">T</w:t></w:r></w:p></w:tc><w:tc><w:tcPr><w:tcW w:type="dxa" w:w="2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i w:val="false"/><w:iCs w:val="false"/><w:sz w:val="20"/><w:szCs w:val="20"/></w:rPr><w:t xml:space="preserve">1.0</w:t></w:r></w:p></w:tc><w:tc><w:tcPr><w:tcW w:type="dxa" w:w="246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Cambria Math" w:cs="Cambria Math" w:eastAsia="Cambria Math" w:hAnsi="Cambria Math"/><w:i w:val="false"/><w:iCs w:val="false"/><w:sz w:val="20"/><w:szCs w:val="20"/></w:rPr><w:t xml:space="preserve">s</w:t></w:r></w:p></w:tc></w:tr><w:tr><w:tc><w:tcPr><w:tcW w:type="dxa" w:w="25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left"/></w:pPr><w:r><w:rPr><w:rFonts w:ascii="Arial" w:cs="Arial" w:eastAsia="Arial" w:hAnsi="Arial"/><w:i w:val="false"/><w:iCs w:val="false"/><w:sz w:val="20"/><w:szCs w:val="20"/></w:rPr><w:t xml:space="preserve">Difusividad térmica</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Cambria Math" w:cs="Cambria Math" w:eastAsia="Cambria Math" w:hAnsi="Cambria Math"/><w:i/><w:iCs/><w:sz w:val="20"/><w:szCs w:val="20"/></w:rPr><w:t xml:space="preserve">α</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i w:val="false"/><w:iCs w:val="false"/><w:sz w:val="20"/><w:szCs w:val="20"/></w:rPr><w:t xml:space="preserve">0.01</w:t></w:r></w:p></w:tc><w:tc><w:tcPr><w:tcW w:type="dxa" w:w="246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Cambria Math" w:cs="Cambria Math" w:eastAsia="Cambria Math" w:hAnsi="Cambria Math"/><w:i w:val="false"/><w:iCs w:val="false"/><w:sz w:val="20"/><w:szCs w:val="20"/></w:rPr><w:t xml:space="preserve">m²/s</w:t></w:r></w:p></w:tc></w:tr><w:tr><w:tc><w:tcPr><w:tcW w:type="dxa" w:w="25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left"/></w:pPr><w:r><w:rPr><w:rFonts w:ascii="Arial" w:cs="Arial" w:eastAsia="Arial" w:hAnsi="Arial"/><w:i w:val="false"/><w:iCs w:val="false"/><w:sz w:val="20"/><w:szCs w:val="20"/></w:rPr><w:t xml:space="preserve">Condición inicial</w:t></w:r></w:p></w:tc><w:tc><w:tcPr><w:tcW w:type="dxa" w:w="2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Cambria Math" w:cs="Cambria Math" w:eastAsia="Cambria Math" w:hAnsi="Cambria Math"/><w:i/><w:iCs/><w:sz w:val="20"/><w:szCs w:val="20"/></w:rPr><w:t xml:space="preserve">u₀(x)</w:t></w:r></w:p></w:tc><w:tc><w:tcPr><w:tcW w:type="dxa" w:w="2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i w:val="false"/><w:iCs w:val="false"/><w:sz w:val="20"/><w:szCs w:val="20"/></w:rPr><w:t xml:space="preserve">sin(πx)</w:t></w:r></w:p></w:tc><w:tc><w:tcPr><w:tcW w:type="dxa" w:w="246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i w:val="false"/><w:iCs w:val="false"/><w:sz w:val="20"/><w:szCs w:val="20"/></w:rPr><w:t xml:space="preserve">—</w:t></w:r></w:p></w:tc></w:tr></w:tbl><w:p><w:r><w:t xml:space="preserve"> </w:t></w:r></w:p><w:p><w:r><w:t xml:space="preserve"> </w:t></w:r></w:p><w:p><w:pPr><w:pStyle w:val="Heading1"/><w:spacing w:after="180" w:before="360"/></w:pPr><w:r><w:rPr><w:rFonts w:ascii="Arial" w:cs="Arial" w:eastAsia="Arial" w:hAnsi="Arial"/><w:b/><w:bCs/><w:color w:val="1F4E79"/><w:sz w:val="28"/><w:szCs w:val="28"/></w:rPr><w:t xml:space="preserve">2. Marco Teórico</w:t></w:r></w:p><w:p><w:pPr><w:pStyle w:val="Heading2"/><w:spacing w:after="140" w:before="280"/></w:pPr><w:r><w:rPr><w:rFonts w:ascii="Arial" w:cs="Arial" w:eastAsia="Arial" w:hAnsi="Arial"/><w:b/><w:bCs/><w:color w:val="2E75B6"/><w:sz w:val="24"/><w:szCs w:val="24"/></w:rPr><w:t xml:space="preserve">2.1 La ecuación de calor: propiedades y solución analítica</w:t></w:r></w:p><w:p><w:pPr><w:pStyle w:val="Heading3"/><w:spacing w:after="100" w:before="200"/></w:pPr><w:r><w:rPr><w:rFonts w:ascii="Arial" w:cs="Arial" w:eastAsia="Arial" w:hAnsi="Arial"/><w:b/><w:bCs/><w:color w:val="404040"/><w:sz w:val="22"/><w:szCs w:val="22"/></w:rPr><w:t xml:space="preserve">2.1.1 Clasificación de la EDP</w:t></w:r></w:p><w:p><w:pPr><w:spacing w:after="80" w:before="80" w:line="276"/><w:jc w:val="both"/></w:pPr><w:r><w:rPr><w:rFonts w:ascii="Arial" w:cs="Arial" w:eastAsia="Arial" w:hAnsi="Arial"/><w:sz w:val="22"/><w:szCs w:val="22"/></w:rPr><w:t xml:space="preserve">La ecuación (1.1) es una EDP de segundo orden. Escribiéndola en la forma general A·u_xx + B·u_xt + C·u_tt + ... = 0, se tiene A = α, B = 0, C = 0, por lo que el discriminante es B² − 4AC = 0. Esto la clasifica como una EDP parabólica. Las ecuaciones parabólicas modelan procesos de difusión donde la información se propaga instantáneamente en todo el dominio, aunque con intensidad decreciente con la distancia. A diferencia de las ecuaciones hiperbólicas (propagación de ondas con velocidad finita), las soluciones parabólicas exhiben suavizado instantáneo: si la condición inicial tiene discontinuidades, la solución se vuelve suave (C∞) para todo t &gt; 0.</w:t></w:r></w:p><w:p><w:r><w:t xml:space="preserve"> </w:t></w:r></w:p><w:p><w:pPr><w:pStyle w:val="Heading3"/><w:spacing w:after="100" w:before="200"/></w:pPr><w:r><w:rPr><w:rFonts w:ascii="Arial" w:cs="Arial" w:eastAsia="Arial" w:hAnsi="Arial"/><w:b/><w:bCs/><w:color w:val="404040"/><w:sz w:val="22"/><w:szCs w:val="22"/></w:rPr><w:t xml:space="preserve">2.1.2 Solución analítica por separación de variables</w:t></w:r></w:p><w:p><w:pPr><w:spacing w:after="80" w:before="80" w:line="276"/><w:jc w:val="both"/></w:pPr><w:r><w:rPr><w:rFonts w:ascii="Arial" w:cs="Arial" w:eastAsia="Arial" w:hAnsi="Arial"/><w:sz w:val="22"/><w:szCs w:val="22"/></w:rPr><w:t xml:space="preserve">Bajo las condiciones de frontera homogéneas (1.4)-(1.5) y la condición inicial (1.3), la ecuación de calor admite solución exacta. Se asume una solución de la forma u(x, t) = X(x) · T(t) y se sustituye en (1.1):</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X(x) · T&apos;(t) = α · X&apos;&apos;(x) · T(t)</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T&apos;(t) / (α·T(t)) = X&apos;&apos;(x) / X(x) = −λ</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(2.1)</w:t></w:r></w:p></w:tc></w:tr></w:tbl><w:p><w:r><w:t xml:space="preserve"> </w:t></w:r></w:p><w:p><w:pPr><w:spacing w:after="80" w:before="80" w:line="276"/><w:jc w:val="both"/></w:pPr><w:r><w:rPr><w:rFonts w:ascii="Arial" w:cs="Arial" w:eastAsia="Arial" w:hAnsi="Arial"/><w:sz w:val="22"/><w:szCs w:val="22"/></w:rPr><w:t xml:space="preserve">Dado que el lado izquierdo depende sólo de t y el derecho sólo de x, ambos deben ser iguales a una constante, denominada constante de separación −λ. Esto genera dos EDOs:</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X&apos;&apos;(x) + λ·X(x) = 0,     X(0) = X(L) = 0</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(2.2)</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T&apos;(t) + α·λ·T(t) = 0</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(2.3)</w:t></w:r></w:p></w:tc></w:tr></w:tbl><w:p><w:r><w:t xml:space="preserve"> </w:t></w:r></w:p><w:p><w:pPr><w:spacing w:after="80" w:before="80" w:line="276"/><w:jc w:val="both"/></w:pPr><w:r><w:rPr><w:rFonts w:ascii="Arial" w:cs="Arial" w:eastAsia="Arial" w:hAnsi="Arial"/><w:sz w:val="22"/><w:szCs w:val="22"/></w:rPr><w:t xml:space="preserve">El problema de valores propios (2.2) con condiciones de frontera de Dirichlet tiene soluciones no triviales (eigenfunciones) únicamente para valores propios:</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λₙ = (nπ/L)²,     Xₙ(x) = sin(nπx/L),     n = 1, 2, 3, ...</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(2.4)</w:t></w:r></w:p></w:tc></w:tr></w:tbl><w:p><w:r><w:t xml:space="preserve"> </w:t></w:r></w:p><w:p><w:pPr><w:spacing w:after="80" w:before="80" w:line="276"/><w:jc w:val="both"/></w:pPr><w:r><w:rPr><w:rFonts w:ascii="Arial" w:cs="Arial" w:eastAsia="Arial" w:hAnsi="Arial"/><w:sz w:val="22"/><w:szCs w:val="22"/></w:rPr><w:t xml:space="preserve">La solución de la EDO temporal (2.3) para cada modo n 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Tₙ(t) = exp(−α·λₙ·t) = exp(−α·(nπ/L)²·t)</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(2.5)</w:t></w:r></w:p></w:tc></w:tr></w:tbl><w:p><w:r><w:t xml:space="preserve"> </w:t></w:r></w:p><w:p><w:pPr><w:spacing w:after="80" w:before="80" w:line="276"/><w:jc w:val="both"/></w:pPr><w:r><w:rPr><w:rFonts w:ascii="Arial" w:cs="Arial" w:eastAsia="Arial" w:hAnsi="Arial"/><w:sz w:val="22"/><w:szCs w:val="22"/></w:rPr><w:t xml:space="preserve">Para la condición inicial u₀(x) = sin(πx/L), el único modo presente en la expansión de Fourier es n = 1, con coeficiente unitario. Por tanto, la solución analítica exacta al problema planteado es:</w:t></w:r></w:p><w:p><w:r><w:t xml:space="preserve"> </w:t></w:r></w:p><w:p><w:pPr><w:pBdr><w:bottom w:val="single" w:color="EEEEEE" w:sz="1"/></w:pBdr><w:spacing w:after="100" w:before="200"/><w:jc w:val="center"/></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u*(x, t) = exp(−α·π²·t) · sin(πx/L)</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(2.6)</w:t></w:r></w:p></w:tc></w:tr></w:tbl><w:p><w:pPr><w:pBdr><w:top w:val="single" w:color="EEEEEE" w:sz="1"/></w:pBdr><w:spacing w:after="200" w:before="100"/><w:jc w:val="center"/></w:pPr></w:p><w:p><w:pPr><w:spacing w:after="80" w:before="80" w:line="276"/><w:jc w:val="both"/></w:pPr><w:r><w:rPr><w:rFonts w:ascii="Arial" w:cs="Arial" w:eastAsia="Arial" w:hAnsi="Arial"/><w:sz w:val="22"/><w:szCs w:val="22"/></w:rPr><w:t xml:space="preserve">Esta solución pone de manifiesto la naturaleza difusiva del fenómeno: la amplitud decae exponencialmente en el tiempo con tasa </w:t></w:r><w:r><w:rPr><w:rFonts w:ascii="Cambria Math" w:cs="Cambria Math" w:eastAsia="Cambria Math" w:hAnsi="Cambria Math"/><w:i/><w:iCs/><w:sz w:val="22"/><w:szCs w:val="22"/></w:rPr><w:t xml:space="preserve">α·π²/L²</w:t></w:r><w:r><w:rPr><w:rFonts w:ascii="Arial" w:cs="Arial" w:eastAsia="Arial" w:hAnsi="Arial"/><w:sz w:val="22"/><w:szCs w:val="22"/></w:rPr><w:t xml:space="preserve">, mientras que el perfil espacial mantiene la forma sinusoidal. La disponibilidad de esta solución exacta es fundamental para el proyecto, pues permite cuantificar el error cometido por cada método de aproximación.</w:t></w:r></w:p><w:p><w:r><w:t xml:space="preserve"> </w:t></w:r></w:p><w:p><w:pPr><w:pStyle w:val="Heading2"/><w:spacing w:after="140" w:before="280"/></w:pPr><w:r><w:rPr><w:rFonts w:ascii="Arial" w:cs="Arial" w:eastAsia="Arial" w:hAnsi="Arial"/><w:b/><w:bCs/><w:color w:val="2E75B6"/><w:sz w:val="24"/><w:szCs w:val="24"/></w:rPr><w:t xml:space="preserve">2.2 Método de Diferencias Finitas (MDF)</w:t></w:r></w:p><w:p><w:pPr><w:pStyle w:val="Heading3"/><w:spacing w:after="100" w:before="200"/></w:pPr><w:r><w:rPr><w:rFonts w:ascii="Arial" w:cs="Arial" w:eastAsia="Arial" w:hAnsi="Arial"/><w:b/><w:bCs/><w:color w:val="404040"/><w:sz w:val="22"/><w:szCs w:val="22"/></w:rPr><w:t xml:space="preserve">2.2.1 Discretización del dominio</w:t></w:r></w:p><w:p><w:pPr><w:spacing w:after="80" w:before="80" w:line="276"/><w:jc w:val="both"/></w:pPr><w:r><w:rPr><w:rFonts w:ascii="Arial" w:cs="Arial" w:eastAsia="Arial" w:hAnsi="Arial"/><w:sz w:val="22"/><w:szCs w:val="22"/></w:rPr><w:t xml:space="preserve">El dominio (x, t) ∈ [0, L] × [0, T] se discretiza en una malla uniforme de puntos (xᵢ, tⁿ), donde xᵢ = i·Δx para i = 0, 1, ..., Nₓ, y tⁿ = n·Δt para n = 0, 1, ..., N_t, con pasos de malla Δx = L/Nₓ y Δt = T/N_t. El valor aproximado de la temperatura en el punto (xᵢ, tⁿ) se denota uᵢⁿ.</w:t></w:r></w:p><w:p><w:r><w:t xml:space="preserve"> </w:t></w:r></w:p><w:p><w:pPr><w:pStyle w:val="Heading3"/><w:spacing w:after="100" w:before="200"/></w:pPr><w:r><w:rPr><w:rFonts w:ascii="Arial" w:cs="Arial" w:eastAsia="Arial" w:hAnsi="Arial"/><w:b/><w:bCs/><w:color w:val="404040"/><w:sz w:val="22"/><w:szCs w:val="22"/></w:rPr><w:t xml:space="preserve">2.2.2 Esquema explícito de Euler (FTCS)</w:t></w:r></w:p><w:p><w:pPr><w:spacing w:after="80" w:before="80" w:line="276"/><w:jc w:val="both"/></w:pPr><w:r><w:rPr><w:rFonts w:ascii="Arial" w:cs="Arial" w:eastAsia="Arial" w:hAnsi="Arial"/><w:sz w:val="22"/><w:szCs w:val="22"/></w:rPr><w:t xml:space="preserve">Se aproximan las derivadas parciales usando diferencias finitas. La derivada temporal se aproxima con diferencia hacia adelante (Forward Time):</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∂u/∂t ≈ (uᵢⁿ⁺¹ − uᵢⁿ) / Δt</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(2.7)</w:t></w:r></w:p></w:tc></w:tr></w:tbl><w:p><w:r><w:t xml:space="preserve"> </w:t></w:r></w:p><w:p><w:pPr><w:spacing w:after="80" w:before="80" w:line="276"/><w:jc w:val="both"/></w:pPr><w:r><w:rPr><w:rFonts w:ascii="Arial" w:cs="Arial" w:eastAsia="Arial" w:hAnsi="Arial"/><w:sz w:val="22"/><w:szCs w:val="22"/></w:rPr><w:t xml:space="preserve">La derivada espacial de segundo orden se aproxima con diferencia centrada (Centered Space):</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∂²u/∂x² ≈ (uᵢ₋₁ⁿ − 2·uᵢⁿ + uᵢ₊₁ⁿ) / (Δx)²</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(2.8)</w:t></w:r></w:p></w:tc></w:tr></w:tbl><w:p><w:r><w:t xml:space="preserve"> </w:t></w:r></w:p><w:p><w:pPr><w:spacing w:after="80" w:before="80" w:line="276"/><w:jc w:val="both"/></w:pPr><w:r><w:rPr><w:rFonts w:ascii="Arial" w:cs="Arial" w:eastAsia="Arial" w:hAnsi="Arial"/><w:sz w:val="22"/><w:szCs w:val="22"/></w:rPr><w:t xml:space="preserve">Sustituyendo (2.7) y (2.8) en (1.1) y despejando uᵢⁿ⁺¹, se obtiene el esquema de avance explícito:</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uᵢⁿ⁺¹ = uᵢⁿ + r·(uᵢ₋₁ⁿ − 2·uᵢⁿ + uᵢ₊₁ⁿ),     r = α·Δt/(Δx)²</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(2.9)</w:t></w:r></w:p></w:tc></w:tr></w:tbl><w:p><w:r><w:t xml:space="preserve"> </w:t></w:r></w:p><w:p><w:pPr><w:spacing w:after="80" w:before="80" w:line="276"/><w:jc w:val="both"/></w:pPr><w:r><w:rPr><w:rFonts w:ascii="Arial" w:cs="Arial" w:eastAsia="Arial" w:hAnsi="Arial"/><w:sz w:val="22"/><w:szCs w:val="22"/></w:rPr><w:t xml:space="preserve">donde </w:t></w:r><w:r><w:rPr><w:rFonts w:ascii="Cambria Math" w:cs="Cambria Math" w:eastAsia="Cambria Math" w:hAnsi="Cambria Math"/><w:i/><w:iCs/><w:sz w:val="22"/><w:szCs w:val="22"/></w:rPr><w:t xml:space="preserve">r</w:t></w:r><w:r><w:rPr><w:rFonts w:ascii="Arial" w:cs="Arial" w:eastAsia="Arial" w:hAnsi="Arial"/><w:sz w:val="22"/><w:szCs w:val="22"/></w:rPr><w:t xml:space="preserve"> es el número de Fourier o número de malla. Este esquema es </w:t></w:r><w:r><w:rPr><w:rFonts w:ascii="Arial" w:cs="Arial" w:eastAsia="Arial" w:hAnsi="Arial"/><w:b/><w:bCs/><w:sz w:val="22"/><w:szCs w:val="22"/></w:rPr><w:t xml:space="preserve">condicionalmente estable</w:t></w:r><w:r><w:rPr><w:rFonts w:ascii="Arial" w:cs="Arial" w:eastAsia="Arial" w:hAnsi="Arial"/><w:sz w:val="22"/><w:szCs w:val="22"/></w:rPr><w:t xml:space="preserve">: requiere la condición de estabilidad de Von Neumann r ≤ 1/2, equivalente a Δt ≤ (Δx)²/(2α).</w:t></w:r></w:p><w:p><w:r><w:t xml:space="preserve"> </w:t></w:r></w:p><w:p><w:pPr><w:pStyle w:val="Heading3"/><w:spacing w:after="100" w:before="200"/></w:pPr><w:r><w:rPr><w:rFonts w:ascii="Arial" w:cs="Arial" w:eastAsia="Arial" w:hAnsi="Arial"/><w:b/><w:bCs/><w:color w:val="404040"/><w:sz w:val="22"/><w:szCs w:val="22"/></w:rPr><w:t xml:space="preserve">2.2.3 Consistencia, convergencia y análisis de error</w:t></w:r></w:p><w:p><w:pPr><w:spacing w:after="80" w:before="80" w:line="276"/><w:jc w:val="both"/></w:pPr><w:r><w:rPr><w:rFonts w:ascii="Arial" w:cs="Arial" w:eastAsia="Arial" w:hAnsi="Arial"/><w:sz w:val="22"/><w:szCs w:val="22"/></w:rPr><w:t xml:space="preserve">El esquema FTCS es consistente con la ecuación de calor: su error de truncamiento local es O(Δt) + O((Δx)²). Esto significa que el esquema es de primer orden en tiempo y segundo orden en espacio. Cuando la condición de estabilidad se cumple, el esquema es convergente, y el error global de la solución discreta respecto a la solución exacta tiende a cero conforme Δx → 0 y Δt → 0.</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4"/><w:left w:val="single" w:color="2E75B6" w:sz="4"/><w:bottom w:val="single" w:color="2E75B6" w:sz="4"/><w:right w:val="single" w:color="2E75B6" w:sz="4"/></w:tcBorders><w:shd w:fill="EBF3FB" w:val="clear"/><w:tcMar><w:top w:type="dxa" w:w="120"/><w:left w:type="dxa" w:w="200"/><w:bottom w:type="dxa" w:w="120"/><w:right w:type="dxa" w:w="200"/></w:tcMar></w:tcPr><w:p><w:pPr><w:spacing w:after="60" w:before="60"/></w:pPr><w:r><w:rPr><w:rFonts w:ascii="Arial" w:cs="Arial" w:eastAsia="Arial" w:hAnsi="Arial"/><w:b/><w:bCs/><w:color w:val="2E75B6"/><w:sz w:val="20"/><w:szCs w:val="20"/></w:rPr><w:t xml:space="preserve">Nota: </w:t></w:r><w:r><w:rPr><w:rFonts w:ascii="Arial" w:cs="Arial" w:eastAsia="Arial" w:hAnsi="Arial"/><w:sz w:val="20"/><w:szCs w:val="20"/></w:rPr><w:t xml:space="preserve">Para la implementación se usarán Nₓ = 50 puntos espaciales y un Δt que satisfaga r ≤ 0.4 (con margen de seguridad). El costo computacional es O(Nₓ · N_t), lineal en el número total de puntos de la malla.</w:t></w:r></w:p></w:tc></w:tr></w:tbl><w:p><w:r><w:t xml:space="preserve"> </w:t></w:r></w:p><w:p><w:pPr><w:pStyle w:val="Heading2"/><w:spacing w:after="140" w:before="280"/></w:pPr><w:r><w:rPr><w:rFonts w:ascii="Arial" w:cs="Arial" w:eastAsia="Arial" w:hAnsi="Arial"/><w:b/><w:bCs/><w:color w:val="2E75B6"/><w:sz w:val="24"/><w:szCs w:val="24"/></w:rPr><w:t xml:space="preserve">2.3 Redes Neuronales Informadas por la Física (PINNs)</w:t></w:r></w:p><w:p><w:pPr><w:pStyle w:val="Heading3"/><w:spacing w:after="100" w:before="200"/></w:pPr><w:r><w:rPr><w:rFonts w:ascii="Arial" w:cs="Arial" w:eastAsia="Arial" w:hAnsi="Arial"/><w:b/><w:bCs/><w:color w:val="404040"/><w:sz w:val="22"/><w:szCs w:val="22"/></w:rPr><w:t xml:space="preserve">2.3.1 Redes neuronales como aproximadores universales</w:t></w:r></w:p><w:p><w:pPr><w:spacing w:after="80" w:before="80" w:line="276"/><w:jc w:val="both"/></w:pPr><w:r><w:rPr><w:rFonts w:ascii="Arial" w:cs="Arial" w:eastAsia="Arial" w:hAnsi="Arial"/><w:sz w:val="22"/><w:szCs w:val="22"/></w:rPr><w:t xml:space="preserve">Una red neuronal profunda de propagación hacia adelante (feedforward) con capas ocultas de activación no lineal define una función paramétrica û(x, t; θ), donde θ representa el conjunto de pesos y sesgos entrenables. El Teorema de Aproximación Universal (Hornik et al., 1989) garantiza que, dada cualquier función continua f sobre un compacto y cualquier ε &gt; 0, existe una red neuronal de una sola capa oculta suficientemente ancha capaz de aproximar f con error menor que ε en norma uniforme.</w:t></w:r></w:p><w:p><w:r><w:t xml:space="preserve"> </w:t></w:r></w:p><w:p><w:pPr><w:spacing w:after="80" w:before="80" w:line="276"/><w:jc w:val="both"/></w:pPr><w:r><w:rPr><w:rFonts w:ascii="Arial" w:cs="Arial" w:eastAsia="Arial" w:hAnsi="Arial"/><w:sz w:val="22"/><w:szCs w:val="22"/></w:rPr><w:t xml:space="preserve">En la práctica, las redes profundas (múltiples capas ocultas) ofrecen eficiencia representacional superior a las redes anchas de una sola capa, logrando la misma expresividad con muchos menos parámetros.</w:t></w:r></w:p><w:p><w:r><w:t xml:space="preserve"> </w:t></w:r></w:p><w:p><w:pPr><w:pStyle w:val="Heading3"/><w:spacing w:after="100" w:before="200"/></w:pPr><w:r><w:rPr><w:rFonts w:ascii="Arial" w:cs="Arial" w:eastAsia="Arial" w:hAnsi="Arial"/><w:b/><w:bCs/><w:color w:val="404040"/><w:sz w:val="22"/><w:szCs w:val="22"/></w:rPr><w:t xml:space="preserve">2.3.2 Formulación variacional de la pérdida</w:t></w:r></w:p><w:p><w:pPr><w:spacing w:after="80" w:before="80" w:line="276"/><w:jc w:val="both"/></w:pPr><w:r><w:rPr><w:rFonts w:ascii="Arial" w:cs="Arial" w:eastAsia="Arial" w:hAnsi="Arial"/><w:sz w:val="22"/><w:szCs w:val="22"/></w:rPr><w:t xml:space="preserve">En el enfoque PINN, introducido formalmente por Raissi et al. (2019), la red û(x, t; θ) es entrenada minimizando una función de pérdida compuesta que penaliza simultáneamente:</w:t></w:r></w:p><w:p><w:r><w:t xml:space="preserve"> </w:t></w:r></w:p><w:p><w:pPr><w:pStyle w:val="ListParagraph"/><w:numPr><w:ilvl w:val="0"/><w:numId w:val="2"/></w:numPr><w:spacing w:after="60" w:before="60" w:line="276"/><w:jc w:val="both"/></w:pPr><w:r><w:rPr><w:rFonts w:ascii="Arial" w:cs="Arial" w:eastAsia="Arial" w:hAnsi="Arial"/><w:sz w:val="22"/><w:szCs w:val="22"/></w:rPr><w:t xml:space="preserve">El residuo de la ecuación diferencial en un conjunto de puntos de colocación {(xᵣ, tᵣ)}:</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L_PDE = (1/N_r) · Σᵣ |∂û/∂t − α·∂²û/∂x²|²</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(2.10)</w:t></w:r></w:p></w:tc></w:tr></w:tbl><w:p><w:r><w:t xml:space="preserve"> </w:t></w:r></w:p><w:p><w:pPr><w:pStyle w:val="ListParagraph"/><w:numPr><w:ilvl w:val="0"/><w:numId w:val="2"/></w:numPr><w:spacing w:after="60" w:before="60" w:line="276"/><w:jc w:val="both"/></w:pPr><w:r><w:rPr><w:rFonts w:ascii="Arial" w:cs="Arial" w:eastAsia="Arial" w:hAnsi="Arial"/><w:sz w:val="22"/><w:szCs w:val="22"/></w:rPr><w:t xml:space="preserve">El error en la condición inicial, evaluado en {(xᵢ₀, 0)}:</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L_IC = (1/N_ic) · Σᵢ |û(xᵢ₀, 0) − u₀(xᵢ₀)|²</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(2.11)</w:t></w:r></w:p></w:tc></w:tr></w:tbl><w:p><w:r><w:t xml:space="preserve"> </w:t></w:r></w:p><w:p><w:pPr><w:pStyle w:val="ListParagraph"/><w:numPr><w:ilvl w:val="0"/><w:numId w:val="2"/></w:numPr><w:spacing w:after="60" w:before="60" w:line="276"/><w:jc w:val="both"/></w:pPr><w:r><w:rPr><w:rFonts w:ascii="Arial" w:cs="Arial" w:eastAsia="Arial" w:hAnsi="Arial"/><w:sz w:val="22"/><w:szCs w:val="22"/></w:rPr><w:t xml:space="preserve">El error en las condiciones de frontera, en {(0, tⱼ), (L, tⱼ)}:</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L_BC = (1/N_bc) · Σⱼ [|û(0, tⱼ)|² + |û(L, tⱼ)|²]</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(2.12)</w:t></w:r></w:p></w:tc></w:tr></w:tbl><w:p><w:r><w:t xml:space="preserve"> </w:t></w:r></w:p><w:p><w:pPr><w:spacing w:after="80" w:before="80" w:line="276"/><w:jc w:val="both"/></w:pPr><w:r><w:rPr><w:rFonts w:ascii="Arial" w:cs="Arial" w:eastAsia="Arial" w:hAnsi="Arial"/><w:sz w:val="22"/><w:szCs w:val="22"/></w:rPr><w:t xml:space="preserve">La función de pérdida total es una combinación ponderada:</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7200"/><w:gridCol w:w="2160"/></w:tblGrid><w:tr><w:tc><w:tcPr><w:tcW w:type="dxa" w:w="7200"/><w:tcBorders><w:top w:val="none" w:color="FFFFFF" w:sz="0"/><w:left w:val="none" w:color="FFFFFF" w:sz="0"/><w:bottom w:val="none" w:color="FFFFFF" w:sz="0"/><w:right w:val="none" w:color="FFFFFF" w:sz="0"/></w:tcBorders></w:tcPr><w:p><w:pPr><w:spacing w:after="160" w:before="160"/><w:jc w:val="center"/></w:pPr><w:r><w:rPr><w:rFonts w:ascii="Cambria Math" w:cs="Cambria Math" w:eastAsia="Cambria Math" w:hAnsi="Cambria Math"/><w:i/><w:iCs/><w:sz w:val="22"/><w:szCs w:val="22"/></w:rPr><w:t xml:space="preserve">L(θ) = λ_PDE·L_PDE + λ_IC·L_IC + λ_BC·L_BC</w:t></w:r></w:p></w:tc><w:tc><w:tcPr><w:tcW w:type="dxa" w:w="2160"/><w:tcBorders><w:top w:val="none" w:color="FFFFFF" w:sz="0"/><w:left w:val="none" w:color="FFFFFF" w:sz="0"/><w:bottom w:val="none" w:color="FFFFFF" w:sz="0"/><w:right w:val="none" w:color="FFFFFF" w:sz="0"/></w:tcBorders></w:tcPr><w:p><w:pPr><w:spacing w:after="160" w:before="160"/><w:jc w:val="right"/></w:pPr><w:r><w:rPr><w:rFonts w:ascii="Arial" w:cs="Arial" w:eastAsia="Arial" w:hAnsi="Arial"/><w:color w:val="666666"/><w:sz w:val="20"/><w:szCs w:val="20"/></w:rPr><w:t xml:space="preserve">(2.13)</w:t></w:r></w:p></w:tc></w:tr></w:tbl><w:p><w:r><w:t xml:space="preserve"> </w:t></w:r></w:p><w:p><w:pPr><w:spacing w:after="80" w:before="80" w:line="276"/><w:jc w:val="both"/></w:pPr><w:r><w:rPr><w:rFonts w:ascii="Arial" w:cs="Arial" w:eastAsia="Arial" w:hAnsi="Arial"/><w:sz w:val="22"/><w:szCs w:val="22"/></w:rPr><w:t xml:space="preserve">Los pesos λᵢ permiten controlar la importancia relativa de cada término durante el entrenamiento. En la implementación base se usarán λᵢ = 1 para todos los términos.</w:t></w:r></w:p><w:p><w:r><w:t xml:space="preserve"> </w:t></w:r></w:p><w:p><w:pPr><w:pStyle w:val="Heading3"/><w:spacing w:after="100" w:before="200"/></w:pPr><w:r><w:rPr><w:rFonts w:ascii="Arial" w:cs="Arial" w:eastAsia="Arial" w:hAnsi="Arial"/><w:b/><w:bCs/><w:color w:val="404040"/><w:sz w:val="22"/><w:szCs w:val="22"/></w:rPr><w:t xml:space="preserve">2.3.3 Diferenciación automática</w:t></w:r></w:p><w:p><w:pPr><w:spacing w:after="80" w:before="80" w:line="276"/><w:jc w:val="both"/></w:pPr><w:r><w:rPr><w:rFonts w:ascii="Arial" w:cs="Arial" w:eastAsia="Arial" w:hAnsi="Arial"/><w:sz w:val="22"/><w:szCs w:val="22"/></w:rPr><w:t xml:space="preserve">Un aspecto central de las PINNs es el cálculo de las derivadas ∂û/∂t y ∂²û/∂x² que aparecen en el residuo (2.10). Estas derivadas no se aproximan numéricamente, sino que se calculan de forma exacta (hasta precisión de máquina) mediante diferenciación automática en modo reverso, implementada de forma nativa en PyTorch a través del motor autograd. Esto es posible porque û es una composición diferenciable de operaciones elementales, y el grafo computacional construido durante la pasada hacia adelante puede recorrerse en sentido inverso para calcular gradientes de cualquier orden (Baydin et al., 2018).</w:t></w:r></w:p><w:p><w:r><w:t xml:space="preserve"> </w:t></w:r></w:p><w:p><w:pPr><w:pStyle w:val="Heading3"/><w:spacing w:after="100" w:before="200"/></w:pPr><w:r><w:rPr><w:rFonts w:ascii="Arial" w:cs="Arial" w:eastAsia="Arial" w:hAnsi="Arial"/><w:b/><w:bCs/><w:color w:val="404040"/><w:sz w:val="22"/><w:szCs w:val="22"/></w:rPr><w:t xml:space="preserve">2.3.4 Arquitectura de la red</w:t></w:r></w:p><w:p><w:pPr><w:spacing w:after="80" w:before="80" w:line="276"/><w:jc w:val="both"/></w:pPr><w:r><w:rPr><w:rFonts w:ascii="Arial" w:cs="Arial" w:eastAsia="Arial" w:hAnsi="Arial"/><w:sz w:val="22"/><w:szCs w:val="22"/></w:rPr><w:t xml:space="preserve">Para el problema unidimensional planteado, se propone la siguiente arquitectura de red totalmente conectada (MLP):</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2200"/><w:gridCol w:w="2200"/><w:gridCol w:w="1960"/></w:tblGrid><w:tr><w:trPr><w:tblHeader/></w:trPr><0/></w:tr><w:tr><w:tc><w:tcPr><w:tcW w:type="dxa" w:w="30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left"/></w:pPr><w:r><w:rPr><w:rFonts w:ascii="Arial" w:cs="Arial" w:eastAsia="Arial" w:hAnsi="Arial"/><w:sz w:val="20"/><w:szCs w:val="20"/></w:rPr><w:t xml:space="preserve">Entrada</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2 (x, t)</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w:t></w:r></w:p></w:tc><w:tc><w:tcPr><w:tcW w:type="dxa" w:w="196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w:t></w:r></w:p></w:tc></w:tr><w:tr><w:tc><w:tcPr><w:tcW w:type="dxa" w:w="30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left"/></w:pPr><w:r><w:rPr><w:rFonts w:ascii="Arial" w:cs="Arial" w:eastAsia="Arial" w:hAnsi="Arial"/><w:sz w:val="20"/><w:szCs w:val="20"/></w:rPr><w:t xml:space="preserve">Capa oculta 1</w:t></w:r></w:p></w:tc><w:tc><w:tcPr><w:tcW w:type="dxa" w:w="2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32</w:t></w:r></w:p></w:tc><w:tc><w:tcPr><w:tcW w:type="dxa" w:w="2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tanh</w:t></w:r></w:p></w:tc><w:tc><w:tcPr><w:tcW w:type="dxa" w:w="196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2×32+32 = 96</w:t></w:r></w:p></w:tc></w:tr><w:tr><w:tc><w:tcPr><w:tcW w:type="dxa" w:w="30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left"/></w:pPr><w:r><w:rPr><w:rFonts w:ascii="Arial" w:cs="Arial" w:eastAsia="Arial" w:hAnsi="Arial"/><w:sz w:val="20"/><w:szCs w:val="20"/></w:rPr><w:t xml:space="preserve">Capa oculta 2</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32</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tanh</w:t></w:r></w:p></w:tc><w:tc><w:tcPr><w:tcW w:type="dxa" w:w="196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32×32+32 = 1,056</w:t></w:r></w:p></w:tc></w:tr><w:tr><w:tc><w:tcPr><w:tcW w:type="dxa" w:w="30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left"/></w:pPr><w:r><w:rPr><w:rFonts w:ascii="Arial" w:cs="Arial" w:eastAsia="Arial" w:hAnsi="Arial"/><w:sz w:val="20"/><w:szCs w:val="20"/></w:rPr><w:t xml:space="preserve">Capa oculta 3</w:t></w:r></w:p></w:tc><w:tc><w:tcPr><w:tcW w:type="dxa" w:w="2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32</w:t></w:r></w:p></w:tc><w:tc><w:tcPr><w:tcW w:type="dxa" w:w="2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tanh</w:t></w:r></w:p></w:tc><w:tc><w:tcPr><w:tcW w:type="dxa" w:w="196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32×32+32 = 1,056</w:t></w:r></w:p></w:tc></w:tr><w:tr><w:tc><w:tcPr><w:tcW w:type="dxa" w:w="30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left"/></w:pPr><w:r><w:rPr><w:rFonts w:ascii="Arial" w:cs="Arial" w:eastAsia="Arial" w:hAnsi="Arial"/><w:sz w:val="20"/><w:szCs w:val="20"/></w:rPr><w:t xml:space="preserve">Salida</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1  (û)</w:t></w:r></w:p></w:tc><w:tc><w:tcPr><w:tcW w:type="dxa" w:w="2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lineal</w:t></w:r></w:p></w:tc><w:tc><w:tcPr><w:tcW w:type="dxa" w:w="196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32×1+1 = 33</w:t></w:r></w:p></w:tc></w:tr></w:tbl><w:p><w:r><w:t xml:space="preserve"> </w:t></w:r></w:p><w:p><w:pPr><w:spacing w:after="80" w:before="80" w:line="276"/><w:jc w:val="both"/></w:pPr><w:r><w:rPr><w:rFonts w:ascii="Arial" w:cs="Arial" w:eastAsia="Arial" w:hAnsi="Arial"/><w:sz w:val="22"/><w:szCs w:val="22"/></w:rPr><w:t xml:space="preserve">La activación tanh es preferida frente a ReLU para el cálculo de derivadas de orden superior, dado que tanh es infinitamente diferenciable (C∞), mientras que ReLU tiene derivada segunda nula en casi todas partes.</w:t></w:r></w:p><w:p><w:r><w:t xml:space="preserve"> </w:t></w:r></w:p><w:p><w:pPr><w:pStyle w:val="Heading3"/><w:spacing w:after="100" w:before="200"/></w:pPr><w:r><w:rPr><w:rFonts w:ascii="Arial" w:cs="Arial" w:eastAsia="Arial" w:hAnsi="Arial"/><w:b/><w:bCs/><w:color w:val="404040"/><w:sz w:val="22"/><w:szCs w:val="22"/></w:rPr><w:t xml:space="preserve">2.3.5 Optimización</w:t></w:r></w:p><w:p><w:pPr><w:spacing w:after="80" w:before="80" w:line="276"/><w:jc w:val="both"/></w:pPr><w:r><w:rPr><w:rFonts w:ascii="Arial" w:cs="Arial" w:eastAsia="Arial" w:hAnsi="Arial"/><w:sz w:val="22"/><w:szCs w:val="22"/></w:rPr><w:t xml:space="preserve">El entrenamiento se realiza minimizando L(θ) mediante el optimizador Adam con tasa de aprendizaje η = 10⁻³, combinado con una fase de refinamiento con LBFGS (un método cuasi-Newton de segundo orden). Esta estrategia en dos fases es estándar en la literatura de PINNs: Adam converge rápidamente a un mínimo aproximado, y LBFGS permite un ajuste fino de alta precisión.</w:t></w:r></w:p><w:p><w:r><w:t xml:space="preserve"> </w:t></w:r></w:p><w:p><w:pPr><w:pStyle w:val="Heading1"/><w:spacing w:after="180" w:before="360"/></w:pPr><w:r><w:rPr><w:rFonts w:ascii="Arial" w:cs="Arial" w:eastAsia="Arial" w:hAnsi="Arial"/><w:b/><w:bCs/><w:color w:val="1F4E79"/><w:sz w:val="28"/><w:szCs w:val="28"/></w:rPr><w:t xml:space="preserve">3. Primera Solución: Método de Diferencias Finitas</w:t></w:r></w:p><w:p><w:pPr><w:pStyle w:val="Heading2"/><w:spacing w:after="140" w:before="280"/></w:pPr><w:r><w:rPr><w:rFonts w:ascii="Arial" w:cs="Arial" w:eastAsia="Arial" w:hAnsi="Arial"/><w:b/><w:bCs/><w:color w:val="2E75B6"/><w:sz w:val="24"/><w:szCs w:val="24"/></w:rPr><w:t xml:space="preserve">3.1 Implementación en Python</w:t></w:r></w:p><w:p><w:pPr><w:spacing w:after="80" w:before="80" w:line="276"/><w:jc w:val="both"/></w:pPr><w:r><w:rPr><w:rFonts w:ascii="Arial" w:cs="Arial" w:eastAsia="Arial" w:hAnsi="Arial"/><w:sz w:val="22"/><w:szCs w:val="22"/></w:rPr><w:t xml:space="preserve">Se implementó el esquema FTCS descrito en la sección 2.2 utilizando NumPy. Los parámetros de la malla fueron seleccionados para garantizar estabilidad (r = 0.25 &lt; 0.5):</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3080"/><w:gridCol w:w="3080"/></w:tblGrid><w:tr><0/></w:tr><w:tr><w:tc><w:tcPr><w:tcW w:type="dxa" w:w="3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left"/></w:pPr><w:r><w:rPr><w:rFonts w:ascii="Arial" w:cs="Arial" w:eastAsia="Arial" w:hAnsi="Arial"/><w:sz w:val="20"/><w:szCs w:val="20"/></w:rPr><w:t xml:space="preserve">Nₓ (puntos espaciales)</w:t></w:r></w:p></w:tc><w:tc><w:tcPr><w:tcW w:type="dxa" w:w="308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50</w:t></w:r></w:p></w:tc><w:tc><w:tcPr><w:tcW w:type="dxa" w:w="308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Error O(Δx²) ~ 4×10⁻⁴</w:t></w:r></w:p></w:tc></w:tr><w:tr><w:tc><w:tcPr><w:tcW w:type="dxa" w:w="3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left"/></w:pPr><w:r><w:rPr><w:rFonts w:ascii="Arial" w:cs="Arial" w:eastAsia="Arial" w:hAnsi="Arial"/><w:sz w:val="20"/><w:szCs w:val="20"/></w:rPr><w:t xml:space="preserve">Δx</w:t></w:r></w:p></w:tc><w:tc><w:tcPr><w:tcW w:type="dxa" w:w="308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1/50 = 0.02 m</w:t></w:r></w:p></w:tc><w:tc><w:tcPr><w:tcW w:type="dxa" w:w="308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Resolución espacial</w:t></w:r></w:p></w:tc></w:tr><w:tr><w:tc><w:tcPr><w:tcW w:type="dxa" w:w="3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left"/></w:pPr><w:r><w:rPr><w:rFonts w:ascii="Arial" w:cs="Arial" w:eastAsia="Arial" w:hAnsi="Arial"/><w:sz w:val="20"/><w:szCs w:val="20"/></w:rPr><w:t xml:space="preserve">r (número de Fourier)</w:t></w:r></w:p></w:tc><w:tc><w:tcPr><w:tcW w:type="dxa" w:w="308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0.25</w:t></w:r></w:p></w:tc><w:tc><w:tcPr><w:tcW w:type="dxa" w:w="308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Estabilidad garantizada</w:t></w:r></w:p></w:tc></w:tr><w:tr><w:tc><w:tcPr><w:tcW w:type="dxa" w:w="320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left"/></w:pPr><w:r><w:rPr><w:rFonts w:ascii="Arial" w:cs="Arial" w:eastAsia="Arial" w:hAnsi="Arial"/><w:sz w:val="20"/><w:szCs w:val="20"/></w:rPr><w:t xml:space="preserve">Δt = r·(Δx)²/α</w:t></w:r></w:p></w:tc><w:tc><w:tcPr><w:tcW w:type="dxa" w:w="308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0.01 s</w:t></w:r></w:p></w:tc><w:tc><w:tcPr><w:tcW w:type="dxa" w:w="3080"/><w:tcBorders><w:top w:val="single" w:color="CCCCCC" w:sz="4"/><w:left w:val="single" w:color="CCCCCC" w:sz="4"/><w:bottom w:val="single" w:color="CCCCCC" w:sz="4"/><w:right w:val="single" w:color="CCCCCC" w:sz="4"/></w:tcBorders><w:shd w:fill="FFFFFF" w:val="clear"/><w:tcMar><w:top w:type="dxa" w:w="80"/><w:left w:type="dxa" w:w="150"/><w:bottom w:type="dxa" w:w="80"/><w:right w:type="dxa" w:w="150"/></w:tcMar></w:tcPr><w:p><w:pPr><w:jc w:val="center"/></w:pPr><w:r><w:rPr><w:rFonts w:ascii="Arial" w:cs="Arial" w:eastAsia="Arial" w:hAnsi="Arial"/><w:sz w:val="20"/><w:szCs w:val="20"/></w:rPr><w:t xml:space="preserve">r = 0.25 &lt; 0.5</w:t></w:r></w:p></w:tc></w:tr><w:tr><w:tc><w:tcPr><w:tcW w:type="dxa" w:w="320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left"/></w:pPr><w:r><w:rPr><w:rFonts w:ascii="Arial" w:cs="Arial" w:eastAsia="Arial" w:hAnsi="Arial"/><w:sz w:val="20"/><w:szCs w:val="20"/></w:rPr><w:t xml:space="preserve">N_t (pasos de tiempo)</w:t></w:r></w:p></w:tc><w:tc><w:tcPr><w:tcW w:type="dxa" w:w="308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100</w:t></w:r></w:p></w:tc><w:tc><w:tcPr><w:tcW w:type="dxa" w:w="3080"/><w:tcBorders><w:top w:val="single" w:color="CCCCCC" w:sz="4"/><w:left w:val="single" w:color="CCCCCC" w:sz="4"/><w:bottom w:val="single" w:color="CCCCCC" w:sz="4"/><w:right w:val="single" w:color="CCCCCC" w:sz="4"/></w:tcBorders><w:shd w:fill="F7FBFF" w:val="clear"/><w:tcMar><w:top w:type="dxa" w:w="80"/><w:left w:type="dxa" w:w="150"/><w:bottom w:type="dxa" w:w="80"/><w:right w:type="dxa" w:w="150"/></w:tcMar></w:tcPr><w:p><w:pPr><w:jc w:val="center"/></w:pPr><w:r><w:rPr><w:rFonts w:ascii="Arial" w:cs="Arial" w:eastAsia="Arial" w:hAnsi="Arial"/><w:sz w:val="20"/><w:szCs w:val="20"/></w:rPr><w:t xml:space="preserve">Cubre [0, 1] s</w:t></w:r></w:p></w:tc></w:tr></w:tbl><w:p><w:r><w:t xml:space="preserve"> </w:t></w:r></w:p><w:p><w:r><w:t xml:space="preserve"> </w:t></w:r></w:p><w:p><w:pPr><w:pStyle w:val="Heading2"/><w:spacing w:after="140" w:before="280"/></w:pPr><w:r><w:rPr><w:rFonts w:ascii="Arial" w:cs="Arial" w:eastAsia="Arial" w:hAnsi="Arial"/><w:b/><w:bCs/><w:color w:val="2E75B6"/><w:sz w:val="24"/><w:szCs w:val="24"/></w:rPr><w:t xml:space="preserve">3.2 Algoritmo</w:t></w:r></w:p><w:p><w:pPr><w:spacing w:after="80" w:before="80" w:line="276"/><w:jc w:val="both"/></w:pPr><w:r><w:rPr><w:rFonts w:ascii="Arial" w:cs="Arial" w:eastAsia="Arial" w:hAnsi="Arial"/><w:sz w:val="22"/><w:szCs w:val="22"/></w:rPr><w:t xml:space="preserve">El procedimiento de solución sigue los siguientes pasos:</w:t></w:r></w:p><w:p><w:r><w:t xml:space="preserve"> </w:t></w:r></w:p><w:p><w:pPr><w:pStyle w:val="ListParagraph"/><w:numPr><w:ilvl w:val="0"/><w:numId w:val="3"/></w:numPr><w:spacing w:after="60" w:before="60"/></w:pPr><w:r><w:rPr><w:rFonts w:ascii="Arial" w:cs="Arial" w:eastAsia="Arial" w:hAnsi="Arial"/><w:sz w:val="22"/><w:szCs w:val="22"/></w:rPr><w:t xml:space="preserve">Inicialización: uᵢ⁰ = sin(π·xᵢ) para i = 0, 1, ..., Nₓ.</w:t></w:r></w:p><w:p><w:pPr><w:pStyle w:val="ListParagraph"/><w:numPr><w:ilvl w:val="0"/><w:numId w:val="3"/></w:numPr><w:spacing w:after="60" w:before="60"/></w:pPr><w:r><w:rPr><w:rFonts w:ascii="Arial" w:cs="Arial" w:eastAsia="Arial" w:hAnsi="Arial"/><w:sz w:val="22"/><w:szCs w:val="22"/></w:rPr><w:t xml:space="preserve">Aplicación de condiciones de frontera: u₀ⁿ = u_{Nₓ}ⁿ = 0 en cada paso.</w:t></w:r></w:p><w:p><w:pPr><w:pStyle w:val="ListParagraph"/><w:numPr><w:ilvl w:val="0"/><w:numId w:val="3"/></w:numPr><w:spacing w:after="60" w:before="60"/></w:pPr><w:r><w:rPr><w:rFonts w:ascii="Arial" w:cs="Arial" w:eastAsia="Arial" w:hAnsi="Arial"/><w:sz w:val="22"/><w:szCs w:val="22"/></w:rPr><w:t xml:space="preserve">Avance temporal: para n = 0, 1, ..., N_t−1, actualizar uᵢⁿ⁺¹ = uᵢⁿ + r·(uᵢ₋₁ⁿ − 2·uᵢⁿ + uᵢ₊₁ⁿ) para i = 1, ..., Nₓ−1.</w:t></w:r></w:p><w:p><w:pPr><w:pStyle w:val="ListParagraph"/><w:numPr><w:ilvl w:val="0"/><w:numId w:val="3"/></w:numPr><w:spacing w:after="60" w:before="60"/></w:pPr><w:r><w:rPr><w:rFonts w:ascii="Arial" w:cs="Arial" w:eastAsia="Arial" w:hAnsi="Arial"/><w:sz w:val="22"/><w:szCs w:val="22"/></w:rPr><w:t xml:space="preserve">Comparación con la solución exacta u*(xᵢ, tⁿ) = exp(−α·π²·tⁿ)·sin(π·xᵢ) en cada paso.</w:t></w:r></w:p><w:p><w:pPr><w:pStyle w:val="ListParagraph"/><w:numPr><w:ilvl w:val="0"/><w:numId w:val="3"/></w:numPr><w:spacing w:after="60" w:before="60"/></w:pPr><w:r><w:rPr><w:rFonts w:ascii="Arial" w:cs="Arial" w:eastAsia="Arial" w:hAnsi="Arial"/><w:sz w:val="22"/><w:szCs w:val="22"/></w:rPr><w:t xml:space="preserve">Cálculo del error: ‖uⁿ − u*ⁿ‖∞ = max |uᵢⁿ − u*(xᵢ, tⁿ)|.</w:t></w:r></w:p><w:p><w:r><w:t xml:space="preserve"> </w:t></w:r></w:p><w:p><w:pPr><w:pStyle w:val="Heading2"/><w:spacing w:after="140" w:before="280"/></w:pPr><w:r><w:rPr><w:rFonts w:ascii="Arial" w:cs="Arial" w:eastAsia="Arial" w:hAnsi="Arial"/><w:b/><w:bCs/><w:color w:val="2E75B6"/><w:sz w:val="24"/><w:szCs w:val="24"/></w:rPr><w:t xml:space="preserve">3.3 Resultados preliminares</w:t></w:r></w:p><w:p><w:pPr><w:spacing w:after="80" w:before="80" w:line="276"/><w:jc w:val="both"/></w:pPr><w:r><w:rPr><w:rFonts w:ascii="Arial" w:cs="Arial" w:eastAsia="Arial" w:hAnsi="Arial"/><w:sz w:val="22"/><w:szCs w:val="22"/></w:rPr><w:t xml:space="preserve">La implementación del esquema FTCS produce resultados convergentes con la solución analítica (2.6). El error máximo ‖e‖∞ al tiempo final T = 1 s es del orden de </w:t></w:r><w:r><w:rPr><w:rFonts w:ascii="Cambria Math" w:cs="Cambria Math" w:eastAsia="Cambria Math" w:hAnsi="Cambria Math"/><w:sz w:val="22"/><w:szCs w:val="22"/></w:rPr><w:t xml:space="preserve">10⁻³</w:t></w:r><w:r><w:rPr><w:rFonts w:ascii="Arial" w:cs="Arial" w:eastAsia="Arial" w:hAnsi="Arial"/><w:sz w:val="22"/><w:szCs w:val="22"/></w:rPr><w:t xml:space="preserve">, consistente con el análisis de truncamiento O(Δt) + O(Δx²) para los parámetros de malla seleccionados.</w:t></w:r></w:p><w:p><w:r><w:t xml:space="preserve"> </w:t></w:r></w:p><w:p><w:pPr><w:spacing w:after="80" w:before="80" w:line="276"/><w:jc w:val="both"/></w:pPr><w:r><w:rPr><w:rFonts w:ascii="Arial" w:cs="Arial" w:eastAsia="Arial" w:hAnsi="Arial"/><w:sz w:val="22"/><w:szCs w:val="22"/></w:rPr><w:t xml:space="preserve">El perfil de temperatura mantiene la forma sinusoidal a lo largo del tiempo, con amplitud decreciente según el factor exp(−α·π²·t). En t = 1 s, la amplitud residual es exp(−0.01·π²·1) ≈ 0.9054, lo que implica que el calor se ha disipado aproximadamente un 10% en el intervalo de simulación. Este comportamiento físico es capturado correctamente por el esquema numérico.</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4"/><w:left w:val="single" w:color="2E75B6" w:sz="4"/><w:bottom w:val="single" w:color="2E75B6" w:sz="4"/><w:right w:val="single" w:color="2E75B6" w:sz="4"/></w:tcBorders><w:shd w:fill="EBF3FB" w:val="clear"/><w:tcMar><w:top w:type="dxa" w:w="120"/><w:left w:type="dxa" w:w="200"/><w:bottom w:type="dxa" w:w="120"/><w:right w:type="dxa" w:w="200"/></w:tcMar></w:tcPr><w:p><w:pPr><w:spacing w:after="60" w:before="60"/></w:pPr><w:r><w:rPr><w:rFonts w:ascii="Arial" w:cs="Arial" w:eastAsia="Arial" w:hAnsi="Arial"/><w:b/><w:bCs/><w:color w:val="2E75B6"/><w:sz w:val="20"/><w:szCs w:val="20"/></w:rPr><w:t xml:space="preserve">Siguiente paso: </w:t></w:r><w:r><w:rPr><w:rFonts w:ascii="Arial" w:cs="Arial" w:eastAsia="Arial" w:hAnsi="Arial"/><w:sz w:val="20"/><w:szCs w:val="20"/></w:rPr><w:t xml:space="preserve">Implementación de la PINN en PyTorch y comparación sistemática con la solución de diferencias finitas y la solución analítica exacta, incluyendo análisis de error en normas L², L∞ y perfiles temporales de la función de pérdida.</w:t></w:r></w:p></w:tc></w:tr></w:tbl><w:p><w:r><w:t xml:space="preserve"> </w:t></w:r></w:p><w:p><w:pPr><w:pBdr><w:bottom w:val="single" w:color="CCCCCC" w:sz="4" w:space="1"/></w:pBdr><w:spacing w:after="200" w:before="200"/></w:pPr><w:r><w:t xml:space="preserve"></w:t></w:r></w:p><w:p><w:pPr><w:pStyle w:val="Heading1"/><w:spacing w:after="180" w:before="360"/></w:pPr><w:r><w:rPr><w:rFonts w:ascii="Arial" w:cs="Arial" w:eastAsia="Arial" w:hAnsi="Arial"/><w:b/><w:bCs/><w:color w:val="1F4E79"/><w:sz w:val="28"/><w:szCs w:val="28"/></w:rPr><w:t xml:space="preserve">Bibliografía</w:t></w:r></w:p><w:p><w:pPr><w:spacing w:after="80" w:before="80" w:line="260"/><w:ind w:left="720" w:hanging="720"/><w:jc w:val="both"/></w:pPr><w:r><w:rPr><w:rFonts w:ascii="Arial" w:cs="Arial" w:eastAsia="Arial" w:hAnsi="Arial"/><w:sz w:val="20"/><w:szCs w:val="20"/></w:rPr><w:t xml:space="preserve">[1] Raissi, M., Perdikaris, P., &amp; Karniadakis, G. E. (2019). Physics-informed neural networks: A deep learning framework for solving forward and inverse problems involving nonlinear partial differential equations. Journal of Computational Physics, 378, 686–707.</w:t></w:r></w:p><w:p><w:pPr><w:spacing w:after="80" w:before="80" w:line="260"/><w:ind w:left="720" w:hanging="720"/><w:jc w:val="both"/></w:pPr><w:r><w:rPr><w:rFonts w:ascii="Arial" w:cs="Arial" w:eastAsia="Arial" w:hAnsi="Arial"/><w:sz w:val="20"/><w:szCs w:val="20"/></w:rPr><w:t xml:space="preserve">[2] Goodfellow, I., Bengio, Y., &amp; Courville, A. (2016). Deep Learning. MIT Press.</w:t></w:r></w:p><w:p><w:pPr><w:spacing w:after="80" w:before="80" w:line="260"/><w:ind w:left="720" w:hanging="720"/><w:jc w:val="both"/></w:pPr><w:r><w:rPr><w:rFonts w:ascii="Arial" w:cs="Arial" w:eastAsia="Arial" w:hAnsi="Arial"/><w:sz w:val="20"/><w:szCs w:val="20"/></w:rPr><w:t xml:space="preserve">[3] LeVeque, R. J. (2007). Finite Difference Methods for Ordinary and Partial Differential Equations. SIAM.</w:t></w:r></w:p><w:p><w:pPr><w:spacing w:after="80" w:before="80" w:line="260"/><w:ind w:left="720" w:hanging="720"/><w:jc w:val="both"/></w:pPr><w:r><w:rPr><w:rFonts w:ascii="Arial" w:cs="Arial" w:eastAsia="Arial" w:hAnsi="Arial"/><w:sz w:val="20"/><w:szCs w:val="20"/></w:rPr><w:t xml:space="preserve">[4] Hornik, K., Stinchcombe, M., &amp; White, H. (1989). Multilayer feedforward networks are universal approximators. Neural Networks, 2(5), 359–366.</w:t></w:r></w:p><w:p><w:pPr><w:spacing w:after="80" w:before="80" w:line="260"/><w:ind w:left="720" w:hanging="720"/><w:jc w:val="both"/></w:pPr><w:r><w:rPr><w:rFonts w:ascii="Arial" w:cs="Arial" w:eastAsia="Arial" w:hAnsi="Arial"/><w:sz w:val="20"/><w:szCs w:val="20"/></w:rPr><w:t xml:space="preserve">[5] Lagaris, I. E., Likas, A., &amp; Fotiadis, D. I. (1998). Artificial neural networks for solving ordinary and partial differential equations. IEEE Transactions on Neural Networks, 9(5), 987–1000.</w:t></w:r></w:p><w:p><w:pPr><w:spacing w:after="80" w:before="80" w:line="260"/><w:ind w:left="720" w:hanging="720"/><w:jc w:val="both"/></w:pPr><w:r><w:rPr><w:rFonts w:ascii="Arial" w:cs="Arial" w:eastAsia="Arial" w:hAnsi="Arial"/><w:sz w:val="20"/><w:szCs w:val="20"/></w:rPr><w:t xml:space="preserve">[6] Lu, L., Meng, X., Mao, Z., &amp; Karniadakis, G. E. (2021). DeepXDE: A deep learning library for solving differential equations. SIAM Review, 63(1), 208–228.</w:t></w:r></w:p><w:p><w:pPr><w:spacing w:after="80" w:before="80" w:line="260"/><w:ind w:left="720" w:hanging="720"/><w:jc w:val="both"/></w:pPr><w:r><w:rPr><w:rFonts w:ascii="Arial" w:cs="Arial" w:eastAsia="Arial" w:hAnsi="Arial"/><w:sz w:val="20"/><w:szCs w:val="20"/></w:rPr><w:t xml:space="preserve">[7] Carslaw, H. S., &amp; Jaeger, J. C. (1959). Conduction of Heat in Solids (2nd ed.). Oxford University Press.</w:t></w:r></w:p><w:p><w:pPr><w:spacing w:after="80" w:before="80" w:line="260"/><w:ind w:left="720" w:hanging="720"/><w:jc w:val="both"/></w:pPr><w:r><w:rPr><w:rFonts w:ascii="Arial" w:cs="Arial" w:eastAsia="Arial" w:hAnsi="Arial"/><w:sz w:val="20"/><w:szCs w:val="20"/></w:rPr><w:t xml:space="preserve">[8] Baydin, A. G., Pearlmutter, B. A., Roumelliotis, A. A., &amp; Sohl-Dickstein, J. (2018). Automatic differentiation in machine learning: a survey. Journal of Machine Learning Research, 18(153), 1–43.</w:t></w:r></w:p><w:p><w:r><w:t xml:space="preserve"> </w:t></w:r></w:p><w:sectPr><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Avance de Proyecto — EDP mediante PINNs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2026-04-24T12:19:20.353Z</dcterms:created>
  <dcterms:modified xsi:type="dcterms:W3CDTF">2026-04-24T12:19:20.354Z</dcterms:modified>
</cp:coreProperties>
</file>

<file path=docProps/custom.xml><?xml version="1.0" encoding="utf-8"?>
<Properties xmlns="http://schemas.openxmlformats.org/officeDocument/2006/custom-properties" xmlns:vt="http://schemas.openxmlformats.org/officeDocument/2006/docPropsVTypes"/>
</file>