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A6" w:rsidRPr="00B84752" w:rsidRDefault="00DC0FDF" w:rsidP="00DC0FD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84752">
        <w:rPr>
          <w:b/>
          <w:bCs/>
          <w:sz w:val="28"/>
          <w:szCs w:val="28"/>
        </w:rPr>
        <w:t>Systèmes des Télécommunications</w:t>
      </w:r>
    </w:p>
    <w:p w:rsidR="00DC0FDF" w:rsidRPr="00B84752" w:rsidRDefault="00DC0FDF" w:rsidP="00DC0FDF">
      <w:pPr>
        <w:spacing w:after="0" w:line="240" w:lineRule="auto"/>
        <w:jc w:val="center"/>
        <w:rPr>
          <w:sz w:val="24"/>
          <w:szCs w:val="24"/>
        </w:rPr>
      </w:pPr>
      <w:r w:rsidRPr="00B84752">
        <w:rPr>
          <w:sz w:val="24"/>
          <w:szCs w:val="24"/>
        </w:rPr>
        <w:t>Examen</w:t>
      </w:r>
      <w:r w:rsidR="00D23498">
        <w:rPr>
          <w:sz w:val="24"/>
          <w:szCs w:val="24"/>
        </w:rPr>
        <w:t xml:space="preserve"> (Options ITR et SSI)</w:t>
      </w:r>
    </w:p>
    <w:p w:rsidR="00DC0FDF" w:rsidRPr="00856F48" w:rsidRDefault="00DC0FDF" w:rsidP="00DC0FDF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56F48">
        <w:rPr>
          <w:sz w:val="24"/>
          <w:szCs w:val="24"/>
        </w:rPr>
        <w:t>Remarques</w:t>
      </w:r>
      <w:proofErr w:type="gramEnd"/>
      <w:r w:rsidRPr="00856F48">
        <w:rPr>
          <w:sz w:val="24"/>
          <w:szCs w:val="24"/>
        </w:rPr>
        <w:t xml:space="preserve"> : </w:t>
      </w:r>
    </w:p>
    <w:p w:rsidR="00DC0FDF" w:rsidRPr="00856F48" w:rsidRDefault="00DC0FDF" w:rsidP="00DC0F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56F48">
        <w:rPr>
          <w:sz w:val="24"/>
          <w:szCs w:val="24"/>
        </w:rPr>
        <w:t>Documents non autorisés</w:t>
      </w:r>
    </w:p>
    <w:p w:rsidR="00DC0FDF" w:rsidRPr="00856F48" w:rsidRDefault="00DC0FDF" w:rsidP="00DC0F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56F48">
        <w:rPr>
          <w:sz w:val="24"/>
          <w:szCs w:val="24"/>
        </w:rPr>
        <w:t>Durée : 1h</w:t>
      </w:r>
      <w:r w:rsidR="00F2718B">
        <w:rPr>
          <w:sz w:val="24"/>
          <w:szCs w:val="24"/>
        </w:rPr>
        <w:t>15</w:t>
      </w:r>
    </w:p>
    <w:p w:rsidR="004B65BF" w:rsidRPr="00856F48" w:rsidRDefault="004B65BF" w:rsidP="004B65BF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856F48">
        <w:rPr>
          <w:b/>
          <w:bCs/>
          <w:sz w:val="24"/>
          <w:szCs w:val="24"/>
          <w:u w:val="single"/>
        </w:rPr>
        <w:t>Exercice 1</w:t>
      </w:r>
      <w:r w:rsidR="00C14A52" w:rsidRPr="00856F48">
        <w:rPr>
          <w:b/>
          <w:bCs/>
          <w:sz w:val="24"/>
          <w:szCs w:val="24"/>
          <w:u w:val="single"/>
        </w:rPr>
        <w:t> :</w:t>
      </w:r>
    </w:p>
    <w:p w:rsidR="004B65BF" w:rsidRPr="00CA618C" w:rsidRDefault="004B65BF" w:rsidP="004B65BF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>Cocher les affirmations vraies :</w:t>
      </w:r>
    </w:p>
    <w:p w:rsidR="004B65BF" w:rsidRPr="00CA618C" w:rsidRDefault="004B65BF" w:rsidP="000B0014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Pr="00CA618C">
        <w:rPr>
          <w:sz w:val="23"/>
          <w:szCs w:val="23"/>
        </w:rPr>
        <w:t xml:space="preserve"> </w:t>
      </w:r>
      <w:r w:rsidR="00AE7D71" w:rsidRPr="00CA618C">
        <w:rPr>
          <w:sz w:val="23"/>
          <w:szCs w:val="23"/>
        </w:rPr>
        <w:t xml:space="preserve">Si un signal </w:t>
      </w:r>
      <w:r w:rsidR="000B0014">
        <w:rPr>
          <w:sz w:val="23"/>
          <w:szCs w:val="23"/>
        </w:rPr>
        <w:t xml:space="preserve">est à </w:t>
      </w:r>
      <w:r w:rsidR="00AE7D71" w:rsidRPr="00CA618C">
        <w:rPr>
          <w:sz w:val="23"/>
          <w:szCs w:val="23"/>
        </w:rPr>
        <w:t>énergie</w:t>
      </w:r>
      <w:r w:rsidR="000B0014">
        <w:rPr>
          <w:sz w:val="23"/>
          <w:szCs w:val="23"/>
        </w:rPr>
        <w:t xml:space="preserve"> finie, alors sa puissance est</w:t>
      </w:r>
      <w:r w:rsidR="00AE7D71" w:rsidRPr="00CA618C">
        <w:rPr>
          <w:sz w:val="23"/>
          <w:szCs w:val="23"/>
        </w:rPr>
        <w:t xml:space="preserve"> nulle.</w:t>
      </w:r>
    </w:p>
    <w:p w:rsidR="00AE7D71" w:rsidRPr="00CA618C" w:rsidRDefault="00AE7D71" w:rsidP="00AE7D71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="005413BE" w:rsidRPr="00CA618C">
        <w:rPr>
          <w:sz w:val="23"/>
          <w:szCs w:val="23"/>
        </w:rPr>
        <w:t xml:space="preserve"> </w:t>
      </w:r>
      <w:r w:rsidRPr="00CA618C">
        <w:rPr>
          <w:sz w:val="23"/>
          <w:szCs w:val="23"/>
        </w:rPr>
        <w:t>Le produit d’un signal x(t) par l’</w:t>
      </w:r>
      <w:r w:rsidR="0047443D" w:rsidRPr="00CA618C">
        <w:rPr>
          <w:sz w:val="23"/>
          <w:szCs w:val="23"/>
        </w:rPr>
        <w:t>impulsion</w:t>
      </w:r>
      <w:r w:rsidRPr="00CA618C">
        <w:rPr>
          <w:sz w:val="23"/>
          <w:szCs w:val="23"/>
        </w:rPr>
        <w:t xml:space="preserve"> de Dirac </w:t>
      </w:r>
      <m:oMath>
        <m:r>
          <w:rPr>
            <w:rFonts w:ascii="Cambria Math" w:hAnsi="Cambria Math"/>
            <w:sz w:val="23"/>
            <w:szCs w:val="23"/>
          </w:rPr>
          <m:t>δ(t-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)</m:t>
        </m:r>
      </m:oMath>
      <w:r w:rsidR="00CA618C">
        <w:rPr>
          <w:rFonts w:eastAsiaTheme="minorEastAsia"/>
          <w:sz w:val="23"/>
          <w:szCs w:val="23"/>
        </w:rPr>
        <w:t xml:space="preserve"> </w:t>
      </w:r>
      <w:r w:rsidRPr="00CA618C">
        <w:rPr>
          <w:rFonts w:eastAsiaTheme="minorEastAsia"/>
          <w:sz w:val="23"/>
          <w:szCs w:val="23"/>
        </w:rPr>
        <w:t xml:space="preserve">revient à décaler le signal x(t) </w:t>
      </w:r>
      <w:proofErr w:type="gramStart"/>
      <w:r w:rsidRPr="00CA618C">
        <w:rPr>
          <w:rFonts w:eastAsiaTheme="minorEastAsia"/>
          <w:sz w:val="23"/>
          <w:szCs w:val="23"/>
        </w:rPr>
        <w:t xml:space="preserve">de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b>
        </m:sSub>
      </m:oMath>
      <w:r w:rsidRPr="00CA618C">
        <w:rPr>
          <w:rFonts w:eastAsiaTheme="minorEastAsia"/>
          <w:sz w:val="23"/>
          <w:szCs w:val="23"/>
        </w:rPr>
        <w:t>.</w:t>
      </w:r>
    </w:p>
    <w:p w:rsidR="00DC0FDF" w:rsidRPr="00CA618C" w:rsidRDefault="007D3BB8" w:rsidP="009B3C9E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Pr="00CA618C">
        <w:rPr>
          <w:sz w:val="23"/>
          <w:szCs w:val="23"/>
        </w:rPr>
        <w:t xml:space="preserve"> </w:t>
      </w:r>
      <w:r w:rsidR="005413BE" w:rsidRPr="00CA618C">
        <w:rPr>
          <w:sz w:val="23"/>
          <w:szCs w:val="23"/>
        </w:rPr>
        <w:t xml:space="preserve">Un signal périodique est, </w:t>
      </w:r>
      <w:r w:rsidR="009B3C9E">
        <w:rPr>
          <w:sz w:val="23"/>
          <w:szCs w:val="23"/>
        </w:rPr>
        <w:t>toujours</w:t>
      </w:r>
      <w:r w:rsidR="005413BE" w:rsidRPr="00CA618C">
        <w:rPr>
          <w:sz w:val="23"/>
          <w:szCs w:val="23"/>
        </w:rPr>
        <w:t>, déterministe, l’inverse est aussi vrai.</w:t>
      </w:r>
    </w:p>
    <w:p w:rsidR="005413BE" w:rsidRPr="00CA618C" w:rsidRDefault="005413BE" w:rsidP="00DB198A">
      <w:pPr>
        <w:spacing w:after="0" w:line="240" w:lineRule="auto"/>
        <w:jc w:val="both"/>
        <w:rPr>
          <w:rFonts w:eastAsiaTheme="minorEastAsia"/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Pr="00CA618C">
        <w:rPr>
          <w:sz w:val="23"/>
          <w:szCs w:val="23"/>
        </w:rPr>
        <w:t xml:space="preserve"> </w:t>
      </w:r>
      <w:r w:rsidR="00DB198A" w:rsidRPr="00CA618C">
        <w:rPr>
          <w:sz w:val="23"/>
          <w:szCs w:val="23"/>
        </w:rPr>
        <w:t xml:space="preserve">L’échantillonnage pourrait être obtenu par simple multiplication du signal d’origine x(t) par l’impulsion de </w:t>
      </w:r>
      <w:proofErr w:type="gramStart"/>
      <w:r w:rsidR="00DB198A" w:rsidRPr="00CA618C">
        <w:rPr>
          <w:sz w:val="23"/>
          <w:szCs w:val="23"/>
        </w:rPr>
        <w:t xml:space="preserve">Dirac </w:t>
      </w:r>
      <m:oMath>
        <w:proofErr w:type="gramEnd"/>
        <m:r>
          <w:rPr>
            <w:rFonts w:ascii="Cambria Math" w:hAnsi="Cambria Math"/>
            <w:sz w:val="23"/>
            <w:szCs w:val="23"/>
          </w:rPr>
          <m:t>δ(t)</m:t>
        </m:r>
      </m:oMath>
      <w:r w:rsidR="00DB198A" w:rsidRPr="00CA618C">
        <w:rPr>
          <w:rFonts w:eastAsiaTheme="minorEastAsia"/>
          <w:sz w:val="23"/>
          <w:szCs w:val="23"/>
        </w:rPr>
        <w:t>.</w:t>
      </w:r>
    </w:p>
    <w:p w:rsidR="00DB198A" w:rsidRPr="00CA618C" w:rsidRDefault="00DB198A" w:rsidP="00DB198A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Pr="00CA618C">
        <w:rPr>
          <w:sz w:val="23"/>
          <w:szCs w:val="23"/>
        </w:rPr>
        <w:t xml:space="preserve"> Plus le nombre de niveaux de quantification augmente, plus la valeur du bruit de quantification diminue.</w:t>
      </w:r>
    </w:p>
    <w:p w:rsidR="00DB198A" w:rsidRDefault="00DB198A" w:rsidP="004B7A0E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="004B7A0E" w:rsidRPr="00CA618C">
        <w:rPr>
          <w:sz w:val="23"/>
          <w:szCs w:val="23"/>
        </w:rPr>
        <w:t xml:space="preserve"> </w:t>
      </w:r>
      <w:r w:rsidRPr="00CA618C">
        <w:rPr>
          <w:sz w:val="23"/>
          <w:szCs w:val="23"/>
        </w:rPr>
        <w:t>On peut réaliser une quantification non uniforme à partir de la quantification uniforme sans changer le nombre de bit de codage.</w:t>
      </w:r>
    </w:p>
    <w:p w:rsidR="00D76E4C" w:rsidRPr="00CA618C" w:rsidRDefault="00D76E4C" w:rsidP="004B7A0E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>
        <w:rPr>
          <w:sz w:val="23"/>
          <w:szCs w:val="23"/>
        </w:rPr>
        <w:t xml:space="preserve"> Le pas de quantification uniforme est d’autant plus grand que le nombre de bit de codage est grand.</w:t>
      </w:r>
    </w:p>
    <w:p w:rsidR="00DB198A" w:rsidRPr="00CA618C" w:rsidRDefault="00DB198A" w:rsidP="004B7A0E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Pr="00CA618C">
        <w:rPr>
          <w:sz w:val="23"/>
          <w:szCs w:val="23"/>
        </w:rPr>
        <w:t xml:space="preserve"> </w:t>
      </w:r>
      <w:r w:rsidR="004B7A0E" w:rsidRPr="00CA618C">
        <w:rPr>
          <w:sz w:val="23"/>
          <w:szCs w:val="23"/>
        </w:rPr>
        <w:t>Dans le cas de la quantification non uniforme, l</w:t>
      </w:r>
      <w:r w:rsidRPr="00CA618C">
        <w:rPr>
          <w:sz w:val="23"/>
          <w:szCs w:val="23"/>
        </w:rPr>
        <w:t>a période d’échantillonnage T</w:t>
      </w:r>
      <w:r w:rsidRPr="00CA618C">
        <w:rPr>
          <w:sz w:val="23"/>
          <w:szCs w:val="23"/>
          <w:vertAlign w:val="subscript"/>
        </w:rPr>
        <w:t xml:space="preserve">e </w:t>
      </w:r>
    </w:p>
    <w:p w:rsidR="00DB198A" w:rsidRDefault="00DB198A" w:rsidP="00FF2326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 w:rsidRPr="00CA618C">
        <w:rPr>
          <w:sz w:val="23"/>
          <w:szCs w:val="23"/>
        </w:rPr>
        <w:t xml:space="preserve"> L’opération de codage consiste à coder, directement</w:t>
      </w:r>
      <w:r w:rsidR="004B7A0E" w:rsidRPr="00CA618C">
        <w:rPr>
          <w:sz w:val="23"/>
          <w:szCs w:val="23"/>
        </w:rPr>
        <w:t xml:space="preserve"> </w:t>
      </w:r>
      <w:r w:rsidRPr="00CA618C">
        <w:rPr>
          <w:sz w:val="23"/>
          <w:szCs w:val="23"/>
        </w:rPr>
        <w:t>en binaire</w:t>
      </w:r>
      <w:r w:rsidR="004B7A0E" w:rsidRPr="00CA618C">
        <w:rPr>
          <w:sz w:val="23"/>
          <w:szCs w:val="23"/>
        </w:rPr>
        <w:t xml:space="preserve">, </w:t>
      </w:r>
      <w:r w:rsidRPr="00CA618C">
        <w:rPr>
          <w:sz w:val="23"/>
          <w:szCs w:val="23"/>
        </w:rPr>
        <w:t xml:space="preserve"> la valeur des échantillons prélevés.</w:t>
      </w:r>
    </w:p>
    <w:p w:rsidR="003B33EA" w:rsidRPr="00CA618C" w:rsidRDefault="003B33EA" w:rsidP="00FF2326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sym w:font="Wingdings" w:char="F06F"/>
      </w:r>
      <w:r>
        <w:rPr>
          <w:sz w:val="23"/>
          <w:szCs w:val="23"/>
        </w:rPr>
        <w:t xml:space="preserve"> Pour la loi A à 13 segments, la quantification est </w:t>
      </w:r>
      <w:r w:rsidR="00FF0BEA" w:rsidRPr="00FF0BEA">
        <w:rPr>
          <w:sz w:val="23"/>
          <w:szCs w:val="23"/>
          <w:u w:val="single"/>
        </w:rPr>
        <w:t>toujours</w:t>
      </w:r>
      <w:r w:rsidR="00FF0BEA">
        <w:rPr>
          <w:sz w:val="23"/>
          <w:szCs w:val="23"/>
        </w:rPr>
        <w:t xml:space="preserve"> </w:t>
      </w:r>
      <w:r>
        <w:rPr>
          <w:sz w:val="23"/>
          <w:szCs w:val="23"/>
        </w:rPr>
        <w:t>uniforme à l’intérieur de chaque segment.</w:t>
      </w:r>
    </w:p>
    <w:p w:rsidR="00C14A52" w:rsidRPr="00856F48" w:rsidRDefault="00C14A52" w:rsidP="00DB198A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856F48">
        <w:rPr>
          <w:b/>
          <w:bCs/>
          <w:sz w:val="24"/>
          <w:szCs w:val="24"/>
          <w:u w:val="single"/>
        </w:rPr>
        <w:t xml:space="preserve">Exercice 2 : </w:t>
      </w:r>
    </w:p>
    <w:p w:rsidR="00C14A52" w:rsidRPr="00CA618C" w:rsidRDefault="00F40841" w:rsidP="00F40841">
      <w:pPr>
        <w:spacing w:after="0" w:line="240" w:lineRule="auto"/>
        <w:jc w:val="both"/>
        <w:rPr>
          <w:rFonts w:eastAsiaTheme="minorEastAsia"/>
          <w:b/>
          <w:bCs/>
          <w:sz w:val="23"/>
          <w:szCs w:val="23"/>
        </w:rPr>
      </w:pPr>
      <w:r w:rsidRPr="00CA618C">
        <w:rPr>
          <w:sz w:val="23"/>
          <w:szCs w:val="23"/>
        </w:rPr>
        <w:t xml:space="preserve">Soit </w:t>
      </w:r>
      <w:r w:rsidR="009C60F9" w:rsidRPr="00CA618C">
        <w:rPr>
          <w:sz w:val="23"/>
          <w:szCs w:val="23"/>
        </w:rPr>
        <w:t xml:space="preserve">un signal </w:t>
      </w:r>
      <w:r w:rsidRPr="00CA618C">
        <w:rPr>
          <w:sz w:val="23"/>
          <w:szCs w:val="23"/>
        </w:rPr>
        <w:t>x(t) périodique de période T</w:t>
      </w:r>
      <w:r w:rsidRPr="00CA618C">
        <w:rPr>
          <w:sz w:val="23"/>
          <w:szCs w:val="23"/>
          <w:vertAlign w:val="subscript"/>
        </w:rPr>
        <w:t>0</w:t>
      </w:r>
      <w:r w:rsidRPr="00CA618C">
        <w:rPr>
          <w:sz w:val="23"/>
          <w:szCs w:val="23"/>
        </w:rPr>
        <w:t xml:space="preserve">, </w:t>
      </w:r>
      <w:r w:rsidR="009C60F9" w:rsidRPr="00CA618C">
        <w:rPr>
          <w:sz w:val="23"/>
          <w:szCs w:val="23"/>
        </w:rPr>
        <w:t xml:space="preserve">tel que : </w:t>
      </w:r>
      <w:r w:rsidR="009C60F9" w:rsidRPr="00CA618C">
        <w:rPr>
          <w:b/>
          <w:bCs/>
          <w:sz w:val="23"/>
          <w:szCs w:val="23"/>
        </w:rPr>
        <w:t>x(t) =</w:t>
      </w:r>
      <w:r w:rsidRPr="00CA618C">
        <w:rPr>
          <w:b/>
          <w:bCs/>
          <w:sz w:val="23"/>
          <w:szCs w:val="23"/>
        </w:rPr>
        <w:t>|</w:t>
      </w:r>
      <w:r w:rsidR="000858A8">
        <w:rPr>
          <w:b/>
          <w:bCs/>
          <w:sz w:val="23"/>
          <w:szCs w:val="23"/>
        </w:rPr>
        <w:t>t</w:t>
      </w:r>
      <w:r w:rsidRPr="00CA618C">
        <w:rPr>
          <w:b/>
          <w:bCs/>
          <w:sz w:val="23"/>
          <w:szCs w:val="23"/>
        </w:rPr>
        <w:t>|</w:t>
      </w:r>
      <w:r w:rsidR="009C60F9" w:rsidRPr="00CA618C">
        <w:rPr>
          <w:b/>
          <w:bCs/>
          <w:sz w:val="23"/>
          <w:szCs w:val="23"/>
        </w:rPr>
        <w:t xml:space="preserve"> </w:t>
      </w:r>
      <w:r w:rsidRPr="00CA618C">
        <w:rPr>
          <w:b/>
          <w:bCs/>
          <w:sz w:val="23"/>
          <w:szCs w:val="23"/>
        </w:rPr>
        <w:t xml:space="preserve">si 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t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ϵ</m:t>
        </m:r>
        <m:d>
          <m:dPr>
            <m:begChr m:val="["/>
            <m:endChr m:val=""/>
            <m:ctrlPr>
              <w:rPr>
                <w:rFonts w:ascii="Cambria Math" w:hAnsi="Cambria Math"/>
                <w:b/>
                <w:bCs/>
                <w:i/>
                <w:sz w:val="23"/>
                <w:szCs w:val="2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0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,</m:t>
            </m:r>
          </m:e>
        </m:d>
        <m:d>
          <m:dPr>
            <m:begChr m:val=""/>
            <m:endChr m:val="]"/>
            <m:ctrlPr>
              <w:rPr>
                <w:rFonts w:ascii="Cambria Math" w:hAnsi="Cambria Math"/>
                <w:b/>
                <w:bCs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0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den>
            </m:f>
          </m:e>
        </m:d>
      </m:oMath>
    </w:p>
    <w:p w:rsidR="00F40841" w:rsidRPr="00CA618C" w:rsidRDefault="00F40841" w:rsidP="00F4084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>Tracer l’allure du signal x(t).</w:t>
      </w:r>
    </w:p>
    <w:p w:rsidR="00F40841" w:rsidRPr="00CA618C" w:rsidRDefault="00F40841" w:rsidP="00F4084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 xml:space="preserve">Donner la Décomposition en série de fourrier </w:t>
      </w:r>
      <w:r w:rsidR="00923FB8" w:rsidRPr="00CA618C">
        <w:rPr>
          <w:sz w:val="23"/>
          <w:szCs w:val="23"/>
        </w:rPr>
        <w:t xml:space="preserve">du signal x(t). </w:t>
      </w:r>
    </w:p>
    <w:p w:rsidR="00923FB8" w:rsidRPr="00CA618C" w:rsidRDefault="00923FB8" w:rsidP="00923FB8">
      <w:pPr>
        <w:spacing w:after="0" w:line="240" w:lineRule="auto"/>
        <w:ind w:left="708"/>
        <w:jc w:val="both"/>
        <w:rPr>
          <w:sz w:val="23"/>
          <w:szCs w:val="23"/>
        </w:rPr>
      </w:pPr>
      <w:r w:rsidRPr="00CA618C">
        <w:rPr>
          <w:sz w:val="23"/>
          <w:szCs w:val="23"/>
        </w:rPr>
        <w:t>En déduire l’expression de la fondamentale du signal</w:t>
      </w:r>
    </w:p>
    <w:p w:rsidR="00923FB8" w:rsidRPr="00CA618C" w:rsidRDefault="009F2414" w:rsidP="00923FB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 xml:space="preserve">Montrer que le signal pourrait être écrit sous l’expression suivante : </w:t>
      </w:r>
    </w:p>
    <w:p w:rsidR="009F2414" w:rsidRPr="00CA618C" w:rsidRDefault="009F2414" w:rsidP="008A7EBA">
      <w:pPr>
        <w:pStyle w:val="Paragraphedeliste"/>
        <w:spacing w:after="0" w:line="240" w:lineRule="auto"/>
        <w:jc w:val="both"/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X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/>
                  <w:sz w:val="23"/>
                  <w:szCs w:val="23"/>
                </w:rPr>
                <m:t>n=1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cos⁡</m:t>
          </m:r>
          <m:r>
            <w:rPr>
              <w:rFonts w:ascii="Cambria Math" w:hAnsi="Cambria Math"/>
              <w:sz w:val="23"/>
              <w:szCs w:val="23"/>
            </w:rPr>
            <m:t>(2π</m:t>
          </m:r>
          <m:r>
            <w:rPr>
              <w:rFonts w:ascii="Cambria Math" w:hAnsi="Cambria Math"/>
              <w:sz w:val="23"/>
              <w:szCs w:val="23"/>
            </w:rPr>
            <m:t>n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φ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n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)</m:t>
          </m:r>
        </m:oMath>
      </m:oMathPara>
    </w:p>
    <w:p w:rsidR="00755359" w:rsidRPr="00CA618C" w:rsidRDefault="00440B68" w:rsidP="00440B68">
      <w:pPr>
        <w:pStyle w:val="Paragraphedeliste"/>
        <w:spacing w:after="0" w:line="240" w:lineRule="auto"/>
        <w:jc w:val="both"/>
        <w:rPr>
          <w:rFonts w:eastAsiaTheme="minorEastAsia"/>
          <w:sz w:val="23"/>
          <w:szCs w:val="23"/>
        </w:rPr>
      </w:pPr>
      <w:r w:rsidRPr="00CA618C">
        <w:rPr>
          <w:sz w:val="23"/>
          <w:szCs w:val="23"/>
        </w:rPr>
        <w:t>Déterminer</w:t>
      </w:r>
      <m:oMath>
        <m:r>
          <w:rPr>
            <w:rFonts w:ascii="Cambria Math" w:hAnsi="Cambria Math"/>
            <w:sz w:val="23"/>
            <w:szCs w:val="23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 et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φ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  <w:r w:rsidR="00755359" w:rsidRPr="00CA618C">
        <w:rPr>
          <w:rFonts w:eastAsiaTheme="minorEastAsia"/>
          <w:sz w:val="23"/>
          <w:szCs w:val="23"/>
        </w:rPr>
        <w:t>, on s’arrête à n=7</w:t>
      </w:r>
      <w:r w:rsidR="00CB30D0" w:rsidRPr="00CA618C">
        <w:rPr>
          <w:rFonts w:eastAsiaTheme="minorEastAsia"/>
          <w:sz w:val="23"/>
          <w:szCs w:val="23"/>
        </w:rPr>
        <w:t>.</w:t>
      </w:r>
    </w:p>
    <w:p w:rsidR="009F2414" w:rsidRPr="00CA618C" w:rsidRDefault="008A7EBA" w:rsidP="00923FB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>En déduire le tracé du spectre d’amplitude et celui de phase correspondant.</w:t>
      </w:r>
    </w:p>
    <w:p w:rsidR="00902256" w:rsidRPr="00902256" w:rsidRDefault="00902256" w:rsidP="00902256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902256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>3</w:t>
      </w:r>
      <w:r w:rsidRPr="00902256">
        <w:rPr>
          <w:b/>
          <w:bCs/>
          <w:sz w:val="24"/>
          <w:szCs w:val="24"/>
          <w:u w:val="single"/>
        </w:rPr>
        <w:t xml:space="preserve"> : </w:t>
      </w:r>
    </w:p>
    <w:p w:rsidR="00856F48" w:rsidRPr="00CA618C" w:rsidRDefault="00F57A55" w:rsidP="008B2AB2">
      <w:pPr>
        <w:spacing w:after="0" w:line="240" w:lineRule="auto"/>
        <w:jc w:val="both"/>
        <w:rPr>
          <w:rFonts w:eastAsiaTheme="minorEastAsia"/>
          <w:sz w:val="23"/>
          <w:szCs w:val="23"/>
        </w:rPr>
      </w:pPr>
      <w:r w:rsidRPr="00CA618C">
        <w:rPr>
          <w:sz w:val="23"/>
          <w:szCs w:val="23"/>
        </w:rPr>
        <w:t>On se propose d’</w:t>
      </w:r>
      <w:r w:rsidR="00B82A68" w:rsidRPr="00CA618C">
        <w:rPr>
          <w:sz w:val="23"/>
          <w:szCs w:val="23"/>
        </w:rPr>
        <w:t>échantillonner un sig</w:t>
      </w:r>
      <w:r w:rsidRPr="00CA618C">
        <w:rPr>
          <w:sz w:val="23"/>
          <w:szCs w:val="23"/>
        </w:rPr>
        <w:t>n</w:t>
      </w:r>
      <w:r w:rsidR="00B82A68" w:rsidRPr="00CA618C">
        <w:rPr>
          <w:sz w:val="23"/>
          <w:szCs w:val="23"/>
        </w:rPr>
        <w:t>a</w:t>
      </w:r>
      <w:r w:rsidRPr="00CA618C">
        <w:rPr>
          <w:sz w:val="23"/>
          <w:szCs w:val="23"/>
        </w:rPr>
        <w:t xml:space="preserve">l </w:t>
      </w:r>
      <w:r w:rsidR="00947A3C" w:rsidRPr="00CA618C">
        <w:rPr>
          <w:sz w:val="23"/>
          <w:szCs w:val="23"/>
        </w:rPr>
        <w:t>acoustique</w:t>
      </w:r>
      <w:r w:rsidRPr="00CA618C">
        <w:rPr>
          <w:sz w:val="23"/>
          <w:szCs w:val="23"/>
        </w:rPr>
        <w:t xml:space="preserve"> s(t)</w:t>
      </w:r>
      <w:r w:rsidR="00B82A68" w:rsidRPr="00CA618C">
        <w:rPr>
          <w:sz w:val="23"/>
          <w:szCs w:val="23"/>
        </w:rPr>
        <w:t>, de bande [0,</w:t>
      </w:r>
      <m:oMath>
        <m:r>
          <w:rPr>
            <w:rFonts w:ascii="Cambria Math" w:hAnsi="Cambria Math"/>
            <w:sz w:val="23"/>
            <w:szCs w:val="23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m</m:t>
            </m:r>
          </m:sub>
        </m:sSub>
      </m:oMath>
      <w:r w:rsidR="00B82A68" w:rsidRPr="00CA618C">
        <w:rPr>
          <w:sz w:val="23"/>
          <w:szCs w:val="23"/>
        </w:rPr>
        <w:t xml:space="preserve">], </w:t>
      </w:r>
      <w:r w:rsidR="00A4494E" w:rsidRPr="00CA618C">
        <w:rPr>
          <w:sz w:val="23"/>
          <w:szCs w:val="23"/>
        </w:rPr>
        <w:t xml:space="preserve">par un train d’impulsions rectangulaires r(t), de </w:t>
      </w:r>
      <w:proofErr w:type="gramStart"/>
      <w:r w:rsidR="00A4494E" w:rsidRPr="00CA618C">
        <w:rPr>
          <w:sz w:val="23"/>
          <w:szCs w:val="23"/>
        </w:rPr>
        <w:t xml:space="preserve">hauteur </w:t>
      </w:r>
      <m:oMath>
        <m:r>
          <w:rPr>
            <w:rFonts w:ascii="Cambria Math" w:hAnsi="Cambria Math"/>
            <w:sz w:val="23"/>
            <w:szCs w:val="23"/>
          </w:rPr>
          <m:t/>
        </m:r>
        <w:proofErr w:type="gramEnd"/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τ</m:t>
            </m:r>
          </m:den>
        </m:f>
      </m:oMath>
      <w:r w:rsidR="00A4494E" w:rsidRPr="00CA618C">
        <w:rPr>
          <w:sz w:val="23"/>
          <w:szCs w:val="23"/>
        </w:rPr>
        <w:t xml:space="preserve"> , de largeur </w:t>
      </w:r>
      <m:oMath>
        <m:r>
          <w:rPr>
            <w:rFonts w:ascii="Cambria Math" w:hAnsi="Cambria Math"/>
            <w:sz w:val="23"/>
            <w:szCs w:val="23"/>
          </w:rPr>
          <m:t>τ</m:t>
        </m:r>
      </m:oMath>
      <w:r w:rsidR="00A4494E" w:rsidRPr="00CA618C">
        <w:rPr>
          <w:rFonts w:eastAsiaTheme="minorEastAsia"/>
          <w:sz w:val="23"/>
          <w:szCs w:val="23"/>
        </w:rPr>
        <w:t xml:space="preserve">, et </w:t>
      </w:r>
      <w:r w:rsidR="00A4494E" w:rsidRPr="00CA618C">
        <w:rPr>
          <w:sz w:val="23"/>
          <w:szCs w:val="23"/>
        </w:rPr>
        <w:t xml:space="preserve">de période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sub>
            </m:sSub>
          </m:den>
        </m:f>
      </m:oMath>
      <w:r w:rsidR="00A4494E" w:rsidRPr="00CA618C">
        <w:rPr>
          <w:rFonts w:eastAsiaTheme="minorEastAsia"/>
          <w:sz w:val="23"/>
          <w:szCs w:val="23"/>
        </w:rPr>
        <w:t>.</w:t>
      </w:r>
    </w:p>
    <w:p w:rsidR="00A4494E" w:rsidRPr="00CA618C" w:rsidRDefault="00A4494E" w:rsidP="002F73F3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>Déterminer l’</w:t>
      </w:r>
      <w:r w:rsidR="002F73F3">
        <w:rPr>
          <w:sz w:val="23"/>
          <w:szCs w:val="23"/>
        </w:rPr>
        <w:t xml:space="preserve">expression du spectre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</m:oMath>
      <w:r w:rsidRPr="00CA618C">
        <w:rPr>
          <w:sz w:val="23"/>
          <w:szCs w:val="23"/>
        </w:rPr>
        <w:t xml:space="preserve"> de ce train d’impulsions r(t).</w:t>
      </w:r>
    </w:p>
    <w:p w:rsidR="0081360C" w:rsidRPr="00CA618C" w:rsidRDefault="0081360C" w:rsidP="0090177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 xml:space="preserve">Montrer que le spectre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</m:d>
      </m:oMath>
      <w:r w:rsidRPr="00CA618C">
        <w:rPr>
          <w:sz w:val="23"/>
          <w:szCs w:val="23"/>
        </w:rPr>
        <w:t xml:space="preserve"> du signal échantillonné </w:t>
      </w:r>
      <w:r w:rsidR="0090177E">
        <w:rPr>
          <w:sz w:val="23"/>
          <w:szCs w:val="23"/>
        </w:rPr>
        <w:t>s</w:t>
      </w:r>
      <w:r w:rsidRPr="00CA618C">
        <w:rPr>
          <w:sz w:val="23"/>
          <w:szCs w:val="23"/>
          <w:vertAlign w:val="subscript"/>
        </w:rPr>
        <w:t>e</w:t>
      </w:r>
      <w:r w:rsidR="0090177E">
        <w:rPr>
          <w:sz w:val="23"/>
          <w:szCs w:val="23"/>
        </w:rPr>
        <w:t>(t)=s</w:t>
      </w:r>
      <w:r w:rsidRPr="00CA618C">
        <w:rPr>
          <w:sz w:val="23"/>
          <w:szCs w:val="23"/>
        </w:rPr>
        <w:t xml:space="preserve">(t).r(t) pourrait être écrit sous la forme suivante : </w:t>
      </w:r>
    </w:p>
    <w:p w:rsidR="0081360C" w:rsidRPr="00EA3AA3" w:rsidRDefault="0090177E" w:rsidP="008B2AB2">
      <w:pPr>
        <w:pStyle w:val="Paragraphedeliste"/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noProof/>
          <w:sz w:val="23"/>
          <w:szCs w:val="23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4360545</wp:posOffset>
            </wp:positionH>
            <wp:positionV relativeFrom="paragraph">
              <wp:posOffset>335280</wp:posOffset>
            </wp:positionV>
            <wp:extent cx="1452245" cy="1258570"/>
            <wp:effectExtent l="19050" t="0" r="0" b="0"/>
            <wp:wrapNone/>
            <wp:docPr id="2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13144" cy="2664587"/>
                      <a:chOff x="2746350" y="1751025"/>
                      <a:chExt cx="3213144" cy="2664587"/>
                    </a:xfrm>
                  </a:grpSpPr>
                  <a:sp>
                    <a:nvSpPr>
                      <a:cNvPr id="6" name="Espace réservé du contenu 5"/>
                      <a:cNvSpPr>
                        <a:spLocks noGrp="1"/>
                      </a:cNvSpPr>
                    </a:nvSpPr>
                    <a:spPr>
                      <a:xfrm>
                        <a:off x="5186421" y="3979079"/>
                        <a:ext cx="590508" cy="4365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Autofit/>
                        </a:bodyPr>
                        <a:lstStyle>
                          <a:lvl1pPr marL="274320" indent="-274320" algn="l" rtl="0" eaLnBrk="1" latinLnBrk="0" hangingPunct="1">
                            <a:spcBef>
                              <a:spcPts val="58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Char char=""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64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2"/>
                            </a:buClr>
                            <a:buSzPct val="85000"/>
                            <a:buFont typeface="Wingdings 2"/>
                            <a:buChar char=""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82296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85000"/>
                            <a:buFont typeface="Wingdings 2"/>
                            <a:buChar char="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09728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3"/>
                            </a:buClr>
                            <a:buSzPct val="80000"/>
                            <a:buFont typeface="Wingdings 2"/>
                            <a:buChar char="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37160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3"/>
                            </a:buClr>
                            <a:buFontTx/>
                            <a:buChar char="o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64592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3"/>
                            </a:buClr>
                            <a:buChar char="•"/>
                            <a:defRPr kumimoji="0" sz="18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92024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19456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Char char="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46888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2">
                                <a:tint val="60000"/>
                              </a:schemeClr>
                            </a:buClr>
                            <a:buChar char="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fr-FR" sz="1600" dirty="0" err="1" smtClean="0"/>
                            <a:t>f</a:t>
                          </a:r>
                          <a:r>
                            <a:rPr lang="fr-FR" sz="1200" dirty="0" err="1" smtClean="0"/>
                            <a:t>m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cxnSp>
                    <a:nvCxnSpPr>
                      <a:cNvPr id="8" name="Connecteur droit avec flèche 7"/>
                      <a:cNvCxnSpPr/>
                    </a:nvCxnSpPr>
                    <a:spPr>
                      <a:xfrm rot="5400000" flipH="1" flipV="1">
                        <a:off x="3294045" y="2917818"/>
                        <a:ext cx="2117754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Connecteur droit avec flèche 9"/>
                      <a:cNvCxnSpPr/>
                    </a:nvCxnSpPr>
                    <a:spPr>
                      <a:xfrm>
                        <a:off x="2746350" y="3977489"/>
                        <a:ext cx="3213144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onnecteur droit 11"/>
                      <a:cNvCxnSpPr/>
                    </a:nvCxnSpPr>
                    <a:spPr>
                      <a:xfrm rot="5400000">
                        <a:off x="3018611" y="2645558"/>
                        <a:ext cx="1718492" cy="94854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Connecteur droit 12"/>
                      <a:cNvCxnSpPr/>
                    </a:nvCxnSpPr>
                    <a:spPr>
                      <a:xfrm rot="16200000" flipH="1">
                        <a:off x="3949690" y="2663023"/>
                        <a:ext cx="1718494" cy="91361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Espace réservé du contenu 5"/>
                      <a:cNvSpPr txBox="1">
                        <a:spLocks/>
                      </a:cNvSpPr>
                    </a:nvSpPr>
                    <a:spPr>
                      <a:xfrm>
                        <a:off x="3147993" y="3978318"/>
                        <a:ext cx="584208" cy="4365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74320" marR="0" lvl="0" indent="-27432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58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tabLst/>
                            <a:defRPr/>
                          </a:pPr>
                          <a:r>
                            <a:rPr kumimoji="0" lang="fr-FR" sz="1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-</a:t>
                          </a:r>
                          <a:r>
                            <a:rPr kumimoji="0" lang="fr-FR" sz="16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f</a:t>
                          </a:r>
                          <a:r>
                            <a:rPr kumimoji="0" lang="fr-FR" sz="12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m</a:t>
                          </a:r>
                          <a:endParaRPr kumimoji="0" lang="fr-FR" sz="20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Espace réservé du contenu 5"/>
                      <a:cNvSpPr txBox="1">
                        <a:spLocks/>
                      </a:cNvSpPr>
                    </a:nvSpPr>
                    <a:spPr>
                      <a:xfrm>
                        <a:off x="4024305" y="2043129"/>
                        <a:ext cx="292104" cy="4365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74320" marR="0" lvl="0" indent="-27432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58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tabLst/>
                            <a:defRPr/>
                          </a:pPr>
                          <a:r>
                            <a:rPr kumimoji="0" lang="fr-FR" sz="1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</a:t>
                          </a:r>
                          <a:endParaRPr kumimoji="0" lang="fr-FR" sz="1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Espace réservé du contenu 5"/>
                      <a:cNvSpPr txBox="1">
                        <a:spLocks/>
                      </a:cNvSpPr>
                    </a:nvSpPr>
                    <a:spPr>
                      <a:xfrm>
                        <a:off x="4389435" y="1751025"/>
                        <a:ext cx="590508" cy="4365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74320" marR="0" lvl="0" indent="-27432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58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tabLst/>
                            <a:defRPr/>
                          </a:pPr>
                          <a:r>
                            <a:rPr kumimoji="0" lang="fr-FR" sz="1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S(f)</a:t>
                          </a:r>
                          <a:endParaRPr kumimoji="0" lang="fr-FR" sz="1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=K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n,τ,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β(n,f,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3B33EA" w:rsidRDefault="0081360C" w:rsidP="003B33EA">
      <w:p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 xml:space="preserve">Préciser les limites de la sommation ainsi que l’expression des différents </w:t>
      </w:r>
    </w:p>
    <w:p w:rsidR="0081360C" w:rsidRPr="00CA618C" w:rsidRDefault="0081360C" w:rsidP="003B33EA">
      <w:pPr>
        <w:spacing w:after="0" w:line="240" w:lineRule="auto"/>
        <w:jc w:val="both"/>
        <w:rPr>
          <w:sz w:val="23"/>
          <w:szCs w:val="23"/>
        </w:rPr>
      </w:pPr>
      <w:proofErr w:type="gramStart"/>
      <w:r w:rsidRPr="00CA618C">
        <w:rPr>
          <w:sz w:val="23"/>
          <w:szCs w:val="23"/>
        </w:rPr>
        <w:t>termes</w:t>
      </w:r>
      <w:proofErr w:type="gramEnd"/>
      <w:r w:rsidRPr="00CA618C">
        <w:rPr>
          <w:sz w:val="23"/>
          <w:szCs w:val="23"/>
        </w:rPr>
        <w:t xml:space="preserve"> de l’équation.</w:t>
      </w:r>
    </w:p>
    <w:p w:rsidR="0081360C" w:rsidRPr="00E872F9" w:rsidRDefault="0080222D" w:rsidP="0090177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3"/>
          <w:szCs w:val="23"/>
        </w:rPr>
      </w:pPr>
      <w:r w:rsidRPr="00CA618C">
        <w:rPr>
          <w:sz w:val="23"/>
          <w:szCs w:val="23"/>
        </w:rPr>
        <w:t xml:space="preserve">Tracer l’allure du spectre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</m:d>
      </m:oMath>
      <w:r w:rsidRPr="00CA618C">
        <w:rPr>
          <w:rFonts w:eastAsiaTheme="minorEastAsia"/>
          <w:sz w:val="23"/>
          <w:szCs w:val="23"/>
        </w:rPr>
        <w:t xml:space="preserve"> pour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m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=3,4kHz et 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sz w:val="23"/>
            <w:szCs w:val="23"/>
          </w:rPr>
          <m:t>=0,4</m:t>
        </m:r>
      </m:oMath>
    </w:p>
    <w:p w:rsidR="00E872F9" w:rsidRPr="00E872F9" w:rsidRDefault="00E872F9" w:rsidP="0090177E">
      <w:pPr>
        <w:spacing w:after="0" w:line="240" w:lineRule="auto"/>
        <w:ind w:left="360"/>
        <w:jc w:val="right"/>
        <w:rPr>
          <w:sz w:val="23"/>
          <w:szCs w:val="23"/>
        </w:rPr>
      </w:pPr>
    </w:p>
    <w:sectPr w:rsidR="00E872F9" w:rsidRPr="00E872F9" w:rsidSect="001956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E81" w:rsidRDefault="00296E81" w:rsidP="00DC0FDF">
      <w:pPr>
        <w:spacing w:after="0" w:line="240" w:lineRule="auto"/>
      </w:pPr>
      <w:r>
        <w:separator/>
      </w:r>
    </w:p>
  </w:endnote>
  <w:endnote w:type="continuationSeparator" w:id="1">
    <w:p w:rsidR="00296E81" w:rsidRDefault="00296E81" w:rsidP="00DC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E81" w:rsidRDefault="00296E81" w:rsidP="00DC0FDF">
      <w:pPr>
        <w:spacing w:after="0" w:line="240" w:lineRule="auto"/>
      </w:pPr>
      <w:r>
        <w:separator/>
      </w:r>
    </w:p>
  </w:footnote>
  <w:footnote w:type="continuationSeparator" w:id="1">
    <w:p w:rsidR="00296E81" w:rsidRDefault="00296E81" w:rsidP="00DC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DF" w:rsidRDefault="00DC0FDF">
    <w:pPr>
      <w:pStyle w:val="En-tte"/>
    </w:pPr>
    <w:r>
      <w:t>Ecole Nationale d’Informatique et d’Analyse des Systèmes</w:t>
    </w:r>
    <w:r>
      <w:tab/>
      <w:t>A.U : 2010-2011</w:t>
    </w:r>
  </w:p>
  <w:p w:rsidR="00DC0FDF" w:rsidRDefault="00DC0FDF">
    <w:pPr>
      <w:pStyle w:val="En-tte"/>
    </w:pPr>
    <w:r>
      <w:t xml:space="preserve">ENSIAS- Université Mohammed V </w:t>
    </w:r>
    <w:proofErr w:type="spellStart"/>
    <w:r>
      <w:t>Souissi</w:t>
    </w:r>
    <w:proofErr w:type="spellEnd"/>
    <w:r w:rsidR="004B65BF">
      <w:t xml:space="preserve"> </w:t>
    </w:r>
    <w:r w:rsidR="000C6FE9">
      <w:t>–</w:t>
    </w:r>
    <w:r w:rsidR="004B65BF">
      <w:t xml:space="preserve"> Rabat</w:t>
    </w:r>
    <w:r w:rsidR="000C6FE9">
      <w:tab/>
    </w:r>
    <w:r w:rsidR="000C6FE9">
      <w:tab/>
      <w:t>Pr. A. FAQIHI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67C54"/>
    <w:multiLevelType w:val="hybridMultilevel"/>
    <w:tmpl w:val="05E8F236"/>
    <w:lvl w:ilvl="0" w:tplc="95AA23E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63F2E"/>
    <w:multiLevelType w:val="hybridMultilevel"/>
    <w:tmpl w:val="16B47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412D7"/>
    <w:multiLevelType w:val="hybridMultilevel"/>
    <w:tmpl w:val="D3621050"/>
    <w:lvl w:ilvl="0" w:tplc="D18098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FDF"/>
    <w:rsid w:val="0000212C"/>
    <w:rsid w:val="000858A8"/>
    <w:rsid w:val="000B0014"/>
    <w:rsid w:val="000C6FE9"/>
    <w:rsid w:val="000F5840"/>
    <w:rsid w:val="0011661E"/>
    <w:rsid w:val="00166786"/>
    <w:rsid w:val="001956A6"/>
    <w:rsid w:val="001C1DDE"/>
    <w:rsid w:val="00244968"/>
    <w:rsid w:val="00296E81"/>
    <w:rsid w:val="002D05FD"/>
    <w:rsid w:val="002F73F3"/>
    <w:rsid w:val="00315768"/>
    <w:rsid w:val="003634D2"/>
    <w:rsid w:val="003B33EA"/>
    <w:rsid w:val="00440B68"/>
    <w:rsid w:val="00445F5A"/>
    <w:rsid w:val="00465285"/>
    <w:rsid w:val="0047443D"/>
    <w:rsid w:val="004B65BF"/>
    <w:rsid w:val="004B7A0E"/>
    <w:rsid w:val="004C0154"/>
    <w:rsid w:val="004D4FEA"/>
    <w:rsid w:val="005413BE"/>
    <w:rsid w:val="005A3272"/>
    <w:rsid w:val="005B2B53"/>
    <w:rsid w:val="00687963"/>
    <w:rsid w:val="006C6061"/>
    <w:rsid w:val="00755359"/>
    <w:rsid w:val="007D3BB8"/>
    <w:rsid w:val="0080222D"/>
    <w:rsid w:val="0081360C"/>
    <w:rsid w:val="00856F48"/>
    <w:rsid w:val="0086365F"/>
    <w:rsid w:val="0087128E"/>
    <w:rsid w:val="008A7EBA"/>
    <w:rsid w:val="008B2AB2"/>
    <w:rsid w:val="0090177E"/>
    <w:rsid w:val="00902256"/>
    <w:rsid w:val="00912A0A"/>
    <w:rsid w:val="00923FB8"/>
    <w:rsid w:val="009374B8"/>
    <w:rsid w:val="00947A3C"/>
    <w:rsid w:val="00973E6E"/>
    <w:rsid w:val="009B3C9E"/>
    <w:rsid w:val="009C60F9"/>
    <w:rsid w:val="009F2414"/>
    <w:rsid w:val="00A4494E"/>
    <w:rsid w:val="00A6303D"/>
    <w:rsid w:val="00AE7D71"/>
    <w:rsid w:val="00B82A68"/>
    <w:rsid w:val="00B84752"/>
    <w:rsid w:val="00BF4E33"/>
    <w:rsid w:val="00C14A52"/>
    <w:rsid w:val="00C16D52"/>
    <w:rsid w:val="00C63FD3"/>
    <w:rsid w:val="00CA618C"/>
    <w:rsid w:val="00CB30D0"/>
    <w:rsid w:val="00D23498"/>
    <w:rsid w:val="00D51490"/>
    <w:rsid w:val="00D76E4C"/>
    <w:rsid w:val="00DB198A"/>
    <w:rsid w:val="00DC0FDF"/>
    <w:rsid w:val="00DD29C0"/>
    <w:rsid w:val="00E145B3"/>
    <w:rsid w:val="00E872F9"/>
    <w:rsid w:val="00E9048A"/>
    <w:rsid w:val="00EA3AA3"/>
    <w:rsid w:val="00F2718B"/>
    <w:rsid w:val="00F40841"/>
    <w:rsid w:val="00F57A55"/>
    <w:rsid w:val="00FF0BEA"/>
    <w:rsid w:val="00FF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0FDF"/>
  </w:style>
  <w:style w:type="paragraph" w:styleId="Pieddepage">
    <w:name w:val="footer"/>
    <w:basedOn w:val="Normal"/>
    <w:link w:val="PieddepageCar"/>
    <w:uiPriority w:val="99"/>
    <w:semiHidden/>
    <w:unhideWhenUsed/>
    <w:rsid w:val="00DC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0FDF"/>
  </w:style>
  <w:style w:type="paragraph" w:styleId="Paragraphedeliste">
    <w:name w:val="List Paragraph"/>
    <w:basedOn w:val="Normal"/>
    <w:uiPriority w:val="34"/>
    <w:qFormat/>
    <w:rsid w:val="00DC0FD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7D7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105CB-1092-4232-9DAB-86E8DFE2C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acer</cp:lastModifiedBy>
  <cp:revision>138</cp:revision>
  <dcterms:created xsi:type="dcterms:W3CDTF">2010-11-25T18:23:00Z</dcterms:created>
  <dcterms:modified xsi:type="dcterms:W3CDTF">2010-12-22T13:12:00Z</dcterms:modified>
</cp:coreProperties>
</file>