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11/03/2026</w:t>
            </w:r>
          </w:p>
        </w:tc>
        <w:tc>
          <w:tcPr>
            <w:tcW w:w="1379" w:type="dxa"/>
            <w:vAlign w:val="center"/>
          </w:tcPr>
          <w:p>
            <w:r>
              <w:t>25/03/2026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13/03/2026</w:t>
            </w:r>
          </w:p>
        </w:tc>
        <w:tc>
          <w:tcPr>
            <w:tcW w:w="1379" w:type="dxa"/>
            <w:vAlign w:val="center"/>
          </w:tcPr>
          <w:p>
            <w:r>
              <w:t>27/03/2026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Ingeniería Industrial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Ingeniería Industrial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