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ICLR 2026.</w:t>
      </w:r>
    </w:p>
    <w:p>
      <w:r>
        <w:t>Lugar: Roma, Italia</w:t>
      </w:r>
    </w:p>
    <w:p>
      <w:r>
        <w:t>Fechas: 09/04/2026 – 13/04/2026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