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12/03/2026</w:t>
            </w:r>
          </w:p>
        </w:tc>
        <w:tc>
          <w:tcPr>
            <w:tcW w:w="1379" w:type="dxa"/>
            <w:vAlign w:val="center"/>
          </w:tcPr>
          <w:p>
            <w:r>
              <w:t>26/03/2026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14/03/2026</w:t>
            </w:r>
          </w:p>
        </w:tc>
        <w:tc>
          <w:tcPr>
            <w:tcW w:w="1379" w:type="dxa"/>
            <w:vAlign w:val="center"/>
          </w:tcPr>
          <w:p>
            <w:r>
              <w:t>28/03/2026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Mgs. Carlos Andrés Andrade  </w:t>
              <w:br/>
              <w:t>Profesor del Departamento de Departamento de Electrónica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Electrónica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