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ICLR 2026.</w:t>
      </w:r>
    </w:p>
    <w:p>
      <w:r>
        <w:t>Lugar: Londres, Reino Unido</w:t>
      </w:r>
    </w:p>
    <w:p>
      <w:r>
        <w:t>Fechas: 09/04/2026 – 13/04/2026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