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EPN-VIIV-2026-001</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Optimización Multiagente</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IEEE DSAA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Toronto, Canadá</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05/04/2026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09/04/2026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r>
              <w:t>USD 900</w:t>
            </w:r>
          </w:p>
        </w:tc>
        <w:tc>
          <w:tcPr>
            <w:tcW w:w="353" w:type="dxa"/>
            <w:tcBorders>
              <w:top w:val="nil"/>
              <w:left w:val="nil"/>
              <w:bottom w:val="nil"/>
              <w:right w:val="nil"/>
            </w:tcBorders>
            <w:shd w:val="clear" w:color="000000" w:fill="FFFFFF"/>
            <w:noWrap/>
            <w:vAlign w:val="bottom"/>
            <w:hideMark/>
          </w:tcPr>
          <w:p>
            <w:r>
              <w:t>USD 900</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 Jaime Gabriel Cisneros      Departamento de Electrónica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