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ICLR 2026.</w:t>
      </w:r>
    </w:p>
    <w:p>
      <w:r>
        <w:t>Lugar: Zúrich, Suiza</w:t>
      </w:r>
    </w:p>
    <w:p>
      <w:r>
        <w:t>Fechas: 20/04/2026 – 24/04/2026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