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23/03/2026</w:t>
            </w:r>
          </w:p>
        </w:tc>
        <w:tc>
          <w:tcPr>
            <w:tcW w:w="1379" w:type="dxa"/>
            <w:vAlign w:val="center"/>
          </w:tcPr>
          <w:p>
            <w:r>
              <w:t>06/04/2026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25/03/2026</w:t>
            </w:r>
          </w:p>
        </w:tc>
        <w:tc>
          <w:tcPr>
            <w:tcW w:w="1379" w:type="dxa"/>
            <w:vAlign w:val="center"/>
          </w:tcPr>
          <w:p>
            <w:r>
              <w:t>08/04/2026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Ingeniería Industrial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Ingeniería Industrial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