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22/03/2026</w:t>
            </w:r>
          </w:p>
        </w:tc>
        <w:tc>
          <w:tcPr>
            <w:tcW w:w="1379" w:type="dxa"/>
            <w:vAlign w:val="center"/>
          </w:tcPr>
          <w:p>
            <w:r>
              <w:t>05/04/2026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24/03/2026</w:t>
            </w:r>
          </w:p>
        </w:tc>
        <w:tc>
          <w:tcPr>
            <w:tcW w:w="1379" w:type="dxa"/>
            <w:vAlign w:val="center"/>
          </w:tcPr>
          <w:p>
            <w:r>
              <w:t>07/04/2026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Ing. David Molina  </w:t>
              <w:br/>
              <w:t>Profesor del Departamento de Departamento de Sistemas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Sistemas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