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>
        <w:t>Nombre del Profesor: Ing. David Molina</w:t>
      </w:r>
    </w:p>
    <w:p w:rsidR="00096E99" w:rsidRPr="00627370" w:rsidRDefault="00156B77">
      <w:pPr>
        <w:rPr>
          <w:rFonts w:ascii="Roboto" w:hAnsi="Roboto"/>
          <w:b/>
        </w:rPr>
      </w:pPr>
      <w:r>
        <w:t>Departamento: Departamento de Electrónica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Interacción Humano-Computador</w:t>
            </w:r>
          </w:p>
        </w:tc>
        <w:tc>
          <w:tcPr>
            <w:tcW w:w="1093" w:type="dxa"/>
            <w:vAlign w:val="center"/>
          </w:tcPr>
          <w:p>
            <w:r>
              <w:t>Lunes 14:00–16:00</w:t>
            </w:r>
          </w:p>
        </w:tc>
        <w:tc>
          <w:tcPr>
            <w:tcW w:w="1522" w:type="dxa"/>
            <w:vAlign w:val="center"/>
          </w:tcPr>
          <w:p>
            <w:r>
              <w:t>10/03/2026</w:t>
            </w:r>
          </w:p>
        </w:tc>
        <w:tc>
          <w:tcPr>
            <w:tcW w:w="1379" w:type="dxa"/>
            <w:vAlign w:val="center"/>
          </w:tcPr>
          <w:p>
            <w:r>
              <w:t>24/03/2026</w:t>
            </w:r>
          </w:p>
        </w:tc>
        <w:tc>
          <w:tcPr>
            <w:tcW w:w="1378" w:type="dxa"/>
            <w:vAlign w:val="center"/>
          </w:tcPr>
          <w:p>
            <w:r>
              <w:t>14:00–16:00</w:t>
            </w:r>
          </w:p>
        </w:tc>
        <w:tc>
          <w:tcPr>
            <w:tcW w:w="2124" w:type="dxa"/>
          </w:tcPr>
          <w:p>
            <w:r>
              <w:t>Ing. Paola Viteri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Desarrollo Web</w:t>
            </w:r>
          </w:p>
        </w:tc>
        <w:tc>
          <w:tcPr>
            <w:tcW w:w="1093" w:type="dxa"/>
            <w:vAlign w:val="center"/>
          </w:tcPr>
          <w:p>
            <w:r>
              <w:t>Miércoles 10:00–12:00</w:t>
            </w:r>
          </w:p>
        </w:tc>
        <w:tc>
          <w:tcPr>
            <w:tcW w:w="1522" w:type="dxa"/>
            <w:vAlign w:val="center"/>
          </w:tcPr>
          <w:p>
            <w:r>
              <w:t>11/03/2026</w:t>
            </w:r>
          </w:p>
        </w:tc>
        <w:tc>
          <w:tcPr>
            <w:tcW w:w="1379" w:type="dxa"/>
            <w:vAlign w:val="center"/>
          </w:tcPr>
          <w:p>
            <w:r>
              <w:t>25/03/2026</w:t>
            </w:r>
          </w:p>
        </w:tc>
        <w:tc>
          <w:tcPr>
            <w:tcW w:w="1378" w:type="dxa"/>
            <w:vAlign w:val="center"/>
          </w:tcPr>
          <w:p>
            <w:r>
              <w:t>10:00–12:00</w:t>
            </w:r>
          </w:p>
        </w:tc>
        <w:tc>
          <w:tcPr>
            <w:tcW w:w="2124" w:type="dxa"/>
          </w:tcPr>
          <w:p>
            <w:r>
              <w:t>Ing. Paola Viteri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/>
          </w:p>
        </w:tc>
        <w:tc>
          <w:tcPr>
            <w:tcW w:w="1093" w:type="dxa"/>
            <w:vAlign w:val="center"/>
          </w:tcPr>
          <w:p>
            <w:r/>
          </w:p>
        </w:tc>
        <w:tc>
          <w:tcPr>
            <w:tcW w:w="1522" w:type="dxa"/>
            <w:vAlign w:val="center"/>
          </w:tcPr>
          <w:p>
            <w:r/>
          </w:p>
        </w:tc>
        <w:tc>
          <w:tcPr>
            <w:tcW w:w="1379" w:type="dxa"/>
            <w:vAlign w:val="center"/>
          </w:tcPr>
          <w:p>
            <w:r/>
          </w:p>
        </w:tc>
        <w:tc>
          <w:tcPr>
            <w:tcW w:w="1378" w:type="dxa"/>
            <w:vAlign w:val="center"/>
          </w:tcPr>
          <w:p>
            <w:r/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/>
          </w:p>
        </w:tc>
        <w:tc>
          <w:tcPr>
            <w:tcW w:w="1093" w:type="dxa"/>
            <w:vAlign w:val="center"/>
          </w:tcPr>
          <w:p>
            <w:r/>
          </w:p>
        </w:tc>
        <w:tc>
          <w:tcPr>
            <w:tcW w:w="1522" w:type="dxa"/>
            <w:vAlign w:val="center"/>
          </w:tcPr>
          <w:p>
            <w:r/>
          </w:p>
        </w:tc>
        <w:tc>
          <w:tcPr>
            <w:tcW w:w="1379" w:type="dxa"/>
            <w:vAlign w:val="center"/>
          </w:tcPr>
          <w:p>
            <w:r/>
          </w:p>
        </w:tc>
        <w:tc>
          <w:tcPr>
            <w:tcW w:w="1378" w:type="dxa"/>
            <w:vAlign w:val="center"/>
          </w:tcPr>
          <w:p>
            <w:r/>
          </w:p>
        </w:tc>
        <w:tc>
          <w:tcPr>
            <w:tcW w:w="2124" w:type="dxa"/>
          </w:tcPr>
          <w:p>
            <w:r/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/>
          </w:p>
        </w:tc>
        <w:tc>
          <w:tcPr>
            <w:tcW w:w="1093" w:type="dxa"/>
            <w:vAlign w:val="center"/>
          </w:tcPr>
          <w:p>
            <w:r/>
          </w:p>
        </w:tc>
        <w:tc>
          <w:tcPr>
            <w:tcW w:w="1522" w:type="dxa"/>
            <w:vAlign w:val="center"/>
          </w:tcPr>
          <w:p>
            <w:r/>
          </w:p>
        </w:tc>
        <w:tc>
          <w:tcPr>
            <w:tcW w:w="1379" w:type="dxa"/>
            <w:vAlign w:val="center"/>
          </w:tcPr>
          <w:p>
            <w:r/>
          </w:p>
        </w:tc>
        <w:tc>
          <w:tcPr>
            <w:tcW w:w="1378" w:type="dxa"/>
            <w:vAlign w:val="center"/>
          </w:tcPr>
          <w:p>
            <w:r/>
          </w:p>
        </w:tc>
        <w:tc>
          <w:tcPr>
            <w:tcW w:w="2124" w:type="dxa"/>
          </w:tcPr>
          <w:p>
            <w:r/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/>
          </w:p>
        </w:tc>
        <w:tc>
          <w:tcPr>
            <w:tcW w:w="1093" w:type="dxa"/>
            <w:vAlign w:val="center"/>
          </w:tcPr>
          <w:p>
            <w:r/>
          </w:p>
        </w:tc>
        <w:tc>
          <w:tcPr>
            <w:tcW w:w="1522" w:type="dxa"/>
            <w:vAlign w:val="center"/>
          </w:tcPr>
          <w:p>
            <w:r/>
          </w:p>
        </w:tc>
        <w:tc>
          <w:tcPr>
            <w:tcW w:w="1379" w:type="dxa"/>
            <w:vAlign w:val="center"/>
          </w:tcPr>
          <w:p>
            <w:r/>
          </w:p>
        </w:tc>
        <w:tc>
          <w:tcPr>
            <w:tcW w:w="1378" w:type="dxa"/>
            <w:vAlign w:val="center"/>
          </w:tcPr>
          <w:p>
            <w:r/>
          </w:p>
        </w:tc>
        <w:tc>
          <w:tcPr>
            <w:tcW w:w="2124" w:type="dxa"/>
          </w:tcPr>
          <w:p>
            <w:r/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>
            <w:r>
              <w:t>Firma:</w:t>
            </w:r>
          </w:p>
        </w:tc>
        <w:tc>
          <w:tcPr>
            <w:tcW w:w="4247" w:type="dxa"/>
          </w:tcPr>
          <w:p>
            <w:r>
              <w:t>Firma:</w:t>
            </w:r>
          </w:p>
        </w:tc>
      </w:tr>
      <w:tr w:rsidR="00E9147B" w:rsidRPr="00627370" w:rsidTr="00E9147B">
        <w:tc>
          <w:tcPr>
            <w:tcW w:w="4247" w:type="dxa"/>
          </w:tcPr>
          <w:p>
            <w:r>
              <w:t>Ing. David Molina</w:t>
              <w:br/>
              <w:t>Profesor Titular a Tiempo Completo</w:t>
              <w:br/>
              <w:t>Departamento de Electrónica</w:t>
            </w:r>
          </w:p>
        </w:tc>
        <w:tc>
          <w:tcPr>
            <w:tcW w:w="4247" w:type="dxa"/>
          </w:tcPr>
          <w:p>
            <w:r>
              <w:t>Mgs. Carlos Andrés Andrade</w:t>
              <w:br/>
              <w:t>Jefe del Departamento de Matemática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