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Multi‑Agent RAG for K‑12 Educational Content Generation</w:t>
      </w:r>
    </w:p>
    <w:p>
      <w:r>
        <w:t>Autores: Dr. Jaime Gabriel Cisneros (Escuela Politécnica Nacional)</w:t>
      </w:r>
    </w:p>
    <w:p/>
    <w:p>
      <w:r>
        <w:t>Resumen:</w:t>
      </w:r>
    </w:p>
    <w:p>
      <w:r>
        <w:t>Se presenta una arquitectura multi‑agente basada en RAG para la generación de material didáctico alineado con objetivos de aprendizaje. El enfoque integra recuperación de evidencia, planificación por niveles cognitivos y verificación automática para reducir alucinaciones y mejorar coherencia pedagógica.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