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Informe de Incongruencias – CASO A (4 ejemplos)</w:t>
      </w:r>
    </w:p>
    <w:p>
      <w:r>
        <w:t>Este informe consolida las incongruencias detectables entre documentos del expediente.</w:t>
      </w:r>
    </w:p>
    <w:p>
      <w:pPr>
        <w:pStyle w:val="Heading2"/>
      </w:pPr>
      <w:r>
        <w:t>Ejemplo A-INC-01</w:t>
      </w:r>
    </w:p>
    <w:p>
      <w:r>
        <w:t>Carpeta: caseA_inc1</w:t>
      </w:r>
    </w:p>
    <w:p>
      <w:r>
        <w:t>Incongruencias:</w:t>
      </w:r>
    </w:p>
    <w:p>
      <w:r>
        <w:rPr>
          <w:b/>
        </w:rPr>
        <w:t xml:space="preserve">• </w:t>
      </w:r>
      <w:r>
        <w:t>Anexo 1 (Destino) indica **Madrid, España**, mientras que Anexo 2 (Lugar del evento) indica **Lisboa, Portugal**.</w:t>
      </w:r>
    </w:p>
    <w:p>
      <w:r>
        <w:rPr>
          <w:b/>
        </w:rPr>
        <w:t xml:space="preserve">• </w:t>
      </w:r>
      <w:r>
        <w:t>Anexo 1 (Fechas de viaje 10/06/2026–18/06/2026) no cubre Anexo 2 (Fechas del evento 25/06/2026–27/06/2026).</w:t>
      </w:r>
    </w:p>
    <w:p>
      <w:r>
        <w:rPr>
          <w:b/>
        </w:rPr>
        <w:t xml:space="preserve">• </w:t>
      </w:r>
      <w:r>
        <w:t>Anexo 3 (Lugar/fechas) indica **París, Francia** y año **2025**, distinto de Anexo 2 (Lisboa, 2026).</w:t>
      </w:r>
    </w:p>
    <w:p>
      <w:r>
        <w:rPr>
          <w:b/>
        </w:rPr>
        <w:t xml:space="preserve">• </w:t>
      </w:r>
      <w:r>
        <w:t>Anexo 3 (Código de proyecto) **EPN-VIIV-EDUAI-2025-999** no coincide con Anexo 2 **EPN-VIIV-EDUAI-2025-021**.</w:t>
      </w:r>
    </w:p>
    <w:p>
      <w:r>
        <w:rPr>
          <w:b/>
        </w:rPr>
        <w:t xml:space="preserve">• </w:t>
      </w:r>
      <w:r>
        <w:t>Anexo 10 (Departamento) indica **Departamento de Sistemas**, distinto de Anexo 1/2 (Departamento de Matemática).</w:t>
      </w:r>
    </w:p>
    <w:p>
      <w:r>
        <w:rPr>
          <w:b/>
        </w:rPr>
        <w:t xml:space="preserve">• </w:t>
      </w:r>
      <w:r>
        <w:t>Anexo 10 (Fechas afectadas/recuperación en julio) no se corresponden con el periodo de salida de Anexo 1 (junio).</w:t>
      </w:r>
    </w:p>
    <w:p>
      <w:r>
        <w:rPr>
          <w:b/>
        </w:rPr>
        <w:t xml:space="preserve">• </w:t>
      </w:r>
      <w:r>
        <w:t>Carta de invitación indica **Roma, Italia** y **ICAI 2026 (05/07/2026–09/07/2026)**, incongruente con Anexo 2 (Lisboa, 25/06–27/06).</w:t>
      </w:r>
    </w:p>
    <w:p>
      <w:pPr>
        <w:pStyle w:val="Heading2"/>
      </w:pPr>
      <w:r>
        <w:t>Ejemplo A-INC-02</w:t>
      </w:r>
    </w:p>
    <w:p>
      <w:r>
        <w:t>Carpeta: caseA_inc2</w:t>
      </w:r>
    </w:p>
    <w:p>
      <w:r>
        <w:t>Incongruencias:</w:t>
      </w:r>
    </w:p>
    <w:p>
      <w:r>
        <w:rPr>
          <w:b/>
        </w:rPr>
        <w:t xml:space="preserve">• </w:t>
      </w:r>
      <w:r>
        <w:t>Anexo 1 (Servidor solicitante) **Dr. Jaime Gabriel Cisneros** difiere de Anexo 2 (Servidor) **Mgs. Andrea Valeria López**.</w:t>
      </w:r>
    </w:p>
    <w:p>
      <w:r>
        <w:rPr>
          <w:b/>
        </w:rPr>
        <w:t xml:space="preserve">• </w:t>
      </w:r>
      <w:r>
        <w:t>Anexo 1 (Destino Toronto) coincide con Anexo 2, pero **título de ponencia** difiere entre Anexo 2 y Carta de invitación.</w:t>
      </w:r>
    </w:p>
    <w:p>
      <w:r>
        <w:rPr>
          <w:b/>
        </w:rPr>
        <w:t xml:space="preserve">• </w:t>
      </w:r>
      <w:r>
        <w:t>Anexo 1 (Número de cuenta) presenta un formato no consistente (**2100-9999-XYZ**).</w:t>
      </w:r>
    </w:p>
    <w:p>
      <w:r>
        <w:rPr>
          <w:b/>
        </w:rPr>
        <w:t xml:space="preserve">• </w:t>
      </w:r>
      <w:r>
        <w:t>Anexo 3 (Director del proyecto) **PhD. Ricardo Almeida** difiere del rol declarado en Anexo 2 (Director: Andrea Valeria López).</w:t>
      </w:r>
    </w:p>
    <w:p>
      <w:r>
        <w:rPr>
          <w:b/>
        </w:rPr>
        <w:t xml:space="preserve">• </w:t>
      </w:r>
      <w:r>
        <w:t>Anexo 3 (Código de proyecto) **EPN-VIIV-LAK-2024-033** difiere de Anexo 2 **EPN-VIIV-LAK-2025-033**.</w:t>
      </w:r>
    </w:p>
    <w:p>
      <w:r>
        <w:rPr>
          <w:b/>
        </w:rPr>
        <w:t xml:space="preserve">• </w:t>
      </w:r>
      <w:r>
        <w:t>Anexo 3 solicita **inscripción**, mientras el expediente del Caso A normalmente la gestiona coherente con Anexo 2 (configurado sin criterio unificado).</w:t>
      </w:r>
    </w:p>
    <w:p>
      <w:r>
        <w:rPr>
          <w:b/>
        </w:rPr>
        <w:t xml:space="preserve">• </w:t>
      </w:r>
      <w:r>
        <w:t>Anexo 10 (Nombre del profesor) **Ing. David Molina** difiere de Anexo 1 (solicitante).</w:t>
      </w:r>
    </w:p>
    <w:p>
      <w:pPr>
        <w:pStyle w:val="Heading2"/>
      </w:pPr>
      <w:r>
        <w:t>Ejemplo A-INC-03</w:t>
      </w:r>
    </w:p>
    <w:p>
      <w:r>
        <w:t>Carpeta: caseA_inc3</w:t>
      </w:r>
    </w:p>
    <w:p>
      <w:r>
        <w:t>Incongruencias:</w:t>
      </w:r>
    </w:p>
    <w:p>
      <w:r>
        <w:rPr>
          <w:b/>
        </w:rPr>
        <w:t xml:space="preserve">• </w:t>
      </w:r>
      <w:r>
        <w:t>Anexo 1 presenta inconsistencia temporal: **fecha de llegada (03/10/2026)** es anterior a **fecha de salida (11/10/2026)**.</w:t>
      </w:r>
    </w:p>
    <w:p>
      <w:r>
        <w:rPr>
          <w:b/>
        </w:rPr>
        <w:t xml:space="preserve">• </w:t>
      </w:r>
      <w:r>
        <w:t>Anexo 1 (Vuelo de ida) indica llegada **07:45** el mismo día de salida con cronología incompatible con ruta internacional.</w:t>
      </w:r>
    </w:p>
    <w:p>
      <w:r>
        <w:rPr>
          <w:b/>
        </w:rPr>
        <w:t xml:space="preserve">• </w:t>
      </w:r>
      <w:r>
        <w:t>Anexo 2 (Evento 05/10–09/10/2026) no puede ser cubierto por Anexo 1 (Salida 11/10/2026).</w:t>
      </w:r>
    </w:p>
    <w:p>
      <w:r>
        <w:rPr>
          <w:b/>
        </w:rPr>
        <w:t xml:space="preserve">• </w:t>
      </w:r>
      <w:r>
        <w:t>Anexo 3 indica participación del **6 al 12** de 2026, excediendo Anexo 2 (fin 09/10/2026).</w:t>
      </w:r>
    </w:p>
    <w:p>
      <w:r>
        <w:rPr>
          <w:b/>
        </w:rPr>
        <w:t xml:space="preserve">• </w:t>
      </w:r>
      <w:r>
        <w:t>Carta de invitación termina el **10/10/2026**, distinto de Anexo 2 (09/10/2026).</w:t>
      </w:r>
    </w:p>
    <w:p>
      <w:pPr>
        <w:pStyle w:val="Heading2"/>
      </w:pPr>
      <w:r>
        <w:t>Ejemplo A-INC-04</w:t>
      </w:r>
    </w:p>
    <w:p>
      <w:r>
        <w:t>Carpeta: caseA_inc4</w:t>
      </w:r>
    </w:p>
    <w:p>
      <w:r>
        <w:t>Incongruencias:</w:t>
      </w:r>
    </w:p>
    <w:p>
      <w:r>
        <w:rPr>
          <w:b/>
        </w:rPr>
        <w:t xml:space="preserve">• </w:t>
      </w:r>
      <w:r>
        <w:t>Anexo 2 (Proyecto) indica **EPN-VIIV-AAA-2025-001** y título **PredictRent**, mientras Anexo 3 indica **EPN-VIIV-EDUAI-2025-021** y otro título de proyecto.</w:t>
      </w:r>
    </w:p>
    <w:p>
      <w:r>
        <w:rPr>
          <w:b/>
        </w:rPr>
        <w:t xml:space="preserve">• </w:t>
      </w:r>
      <w:r>
        <w:t>Anexo 2 (Director del proyecto) indica **Dr. Jaime Gabriel Cisneros**, mientras Anexo 3 indica **PhD. Sofía Natalia Herrera**.</w:t>
      </w:r>
    </w:p>
    <w:p>
      <w:r>
        <w:rPr>
          <w:b/>
        </w:rPr>
        <w:t xml:space="preserve">• </w:t>
      </w:r>
      <w:r>
        <w:t>Anexo 2 establece **no aplica inscripción**, mientras Anexo 3 solicita explícitamente pago de inscripción (USD 900.00).</w:t>
      </w:r>
    </w:p>
    <w:p>
      <w:r>
        <w:rPr>
          <w:b/>
        </w:rPr>
        <w:t xml:space="preserve">• </w:t>
      </w:r>
      <w:r>
        <w:t>Anexo 10 (Fechas de recuperación) se ubican **antes** del periodo de viaje de Anexo 1 (20/06–28/06/2026).</w:t>
      </w:r>
    </w:p>
    <w:p>
      <w:r>
        <w:rPr>
          <w:b/>
        </w:rPr>
        <w:t xml:space="preserve">• </w:t>
      </w:r>
      <w:r>
        <w:t>Carta de invitación indica **Departamento de Sistemas**; Anexo 1/2 indican **Departamento de Matemática**.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