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Incongruencias – CASO D (4 ejemplos)</w:t>
      </w:r>
    </w:p>
    <w:p>
      <w:r>
        <w:t>Este informe consolida las incongruencias detectables entre documentos del expediente.</w:t>
      </w:r>
    </w:p>
    <w:p>
      <w:pPr>
        <w:pStyle w:val="Heading2"/>
      </w:pPr>
      <w:r>
        <w:t>Ejemplo D-INC-01</w:t>
      </w:r>
    </w:p>
    <w:p>
      <w:r>
        <w:t>Carpeta: caseD_inc1</w:t>
      </w:r>
    </w:p>
    <w:p>
      <w:r>
        <w:t>Incongruencias:</w:t>
      </w:r>
    </w:p>
    <w:p>
      <w:pPr>
        <w:pStyle w:val="ListBullet"/>
      </w:pPr>
      <w:r>
        <w:t>Anexo 5 marca Fuera de proyecto, pero consigna código de proyecto EPN-VIIV-LAK-2025-033.</w:t>
      </w:r>
    </w:p>
    <w:p>
      <w:pPr>
        <w:pStyle w:val="ListBullet"/>
      </w:pPr>
      <w:r>
        <w:t>Anexo 5 corresponde a ACM LAK 2026 (Toronto), mientras Anexo 6 define beneficiario IEEE DSAA 2026 en Lisboa.</w:t>
      </w:r>
    </w:p>
    <w:p>
      <w:pPr>
        <w:pStyle w:val="ListBullet"/>
      </w:pPr>
      <w:r>
        <w:t>Anexo 5 indica valor USD y Anexo 6 define moneda EUR.</w:t>
      </w:r>
    </w:p>
    <w:p>
      <w:pPr>
        <w:pStyle w:val="Heading2"/>
      </w:pPr>
      <w:r>
        <w:t>Ejemplo D-INC-02</w:t>
      </w:r>
    </w:p>
    <w:p>
      <w:r>
        <w:t>Carpeta: caseD_inc2</w:t>
      </w:r>
    </w:p>
    <w:p>
      <w:r>
        <w:t>Incongruencias:</w:t>
      </w:r>
    </w:p>
    <w:p>
      <w:pPr>
        <w:pStyle w:val="ListBullet"/>
      </w:pPr>
      <w:r>
        <w:t>Anexo 5 fija fecha de pago 20/10/2026 posterior al fin del evento 09/10/2026.</w:t>
      </w:r>
    </w:p>
    <w:p>
      <w:pPr>
        <w:pStyle w:val="ListBullet"/>
      </w:pPr>
      <w:r>
        <w:t>Anexo 5 indica EUR y Anexo 6 define moneda USD.</w:t>
      </w:r>
    </w:p>
    <w:p>
      <w:pPr>
        <w:pStyle w:val="Heading2"/>
      </w:pPr>
      <w:r>
        <w:t>Ejemplo D-INC-03</w:t>
      </w:r>
    </w:p>
    <w:p>
      <w:r>
        <w:t>Carpeta: caseD_inc3</w:t>
      </w:r>
    </w:p>
    <w:p>
      <w:r>
        <w:t>Incongruencias:</w:t>
      </w:r>
    </w:p>
    <w:p>
      <w:pPr>
        <w:pStyle w:val="ListBullet"/>
      </w:pPr>
      <w:r>
        <w:t>Anexo 5 marca Dentro de proyecto, pero consigna No aplica en el código del proyecto.</w:t>
      </w:r>
    </w:p>
    <w:p>
      <w:pPr>
        <w:pStyle w:val="Heading2"/>
      </w:pPr>
      <w:r>
        <w:t>Ejemplo D-INC-04</w:t>
      </w:r>
    </w:p>
    <w:p>
      <w:r>
        <w:t>Carpeta: caseD_inc4</w:t>
      </w:r>
    </w:p>
    <w:p>
      <w:r>
        <w:t>Incongruencias:</w:t>
      </w:r>
    </w:p>
    <w:p>
      <w:pPr>
        <w:pStyle w:val="ListBullet"/>
      </w:pPr>
      <w:r>
        <w:t>Anexo 5 marca Fuera de proyecto, pero consigna un código de proyecto (EPN-VIIV-KDD-2026-007).</w:t>
      </w:r>
    </w:p>
    <w:p>
      <w:pPr>
        <w:pStyle w:val="ListBullet"/>
      </w:pPr>
      <w:r>
        <w:t>Anexo 5 indica valor USD, mientras Anexo 6 define moneda 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