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6B6CA582" w:rsidR="00002FAF" w:rsidRPr="00345950" w:rsidRDefault="00703EEB" w:rsidP="007F3A45">
      <w:pPr>
        <w:pStyle w:val="Ttulo"/>
        <w:framePr w:w="0" w:hSpace="0" w:vSpace="0" w:wrap="auto" w:vAnchor="margin" w:hAnchor="text" w:xAlign="left" w:yAlign="inline"/>
        <w:rPr>
          <w:lang w:val="es-CL"/>
        </w:rPr>
      </w:pPr>
      <w:r>
        <w:rPr>
          <w:sz w:val="44"/>
          <w:lang w:val="es-CL"/>
        </w:rPr>
        <w:t>Teleasistencia Residencial para Adultos Mayores Postoperados: Nodo Hardware ESP32 con FreeRTOS</w:t>
      </w:r>
    </w:p>
    <w:p w14:paraId="47CA69F1" w14:textId="12055E41" w:rsidR="00732E46" w:rsidRPr="00345950" w:rsidRDefault="00732E46" w:rsidP="007F3A45">
      <w:pPr>
        <w:widowControl w:val="0"/>
        <w:pBdr>
          <w:top w:val="nil"/>
          <w:left w:val="nil"/>
          <w:bottom w:val="nil"/>
          <w:right w:val="nil"/>
          <w:between w:val="nil"/>
        </w:pBdr>
        <w:spacing w:line="252" w:lineRule="auto"/>
        <w:jc w:val="center"/>
        <w:rPr>
          <w:color w:val="000000"/>
          <w:lang w:val="es-CL"/>
        </w:rPr>
      </w:pPr>
    </w:p>
    <w:p w14:paraId="3EAF1F3F" w14:textId="36036634" w:rsidR="00703EEB" w:rsidRPr="00345950" w:rsidRDefault="00703EEB" w:rsidP="007F3A45">
      <w:pPr>
        <w:pBdr>
          <w:top w:val="nil"/>
          <w:left w:val="nil"/>
          <w:bottom w:val="nil"/>
          <w:right w:val="nil"/>
          <w:between w:val="nil"/>
        </w:pBdr>
        <w:jc w:val="center"/>
        <w:rPr>
          <w:color w:val="000000"/>
          <w:sz w:val="22"/>
          <w:szCs w:val="22"/>
          <w:lang w:val="es-CL"/>
        </w:rPr>
      </w:pPr>
      <w:bookmarkStart w:id="0" w:name="_heading=h.gjdgxs" w:colFirst="0" w:colLast="0"/>
      <w:bookmarkEnd w:id="0"/>
      <w:r w:rsidRPr="00345950">
        <w:rPr>
          <w:color w:val="000000"/>
          <w:sz w:val="22"/>
          <w:szCs w:val="22"/>
          <w:lang w:val="es-CL"/>
        </w:rPr>
        <w:t>Nombre</w:t>
      </w:r>
      <w:r w:rsidR="00793D8D">
        <w:rPr>
          <w:color w:val="000000"/>
          <w:sz w:val="22"/>
          <w:szCs w:val="22"/>
          <w:lang w:val="es-CL"/>
        </w:rPr>
        <w:t xml:space="preserve"> </w:t>
      </w:r>
      <w:r w:rsidRPr="00345950">
        <w:rPr>
          <w:color w:val="000000"/>
          <w:sz w:val="22"/>
          <w:szCs w:val="22"/>
          <w:lang w:val="es-CL"/>
        </w:rPr>
        <w:t>1 Nombre</w:t>
      </w:r>
      <w:r w:rsidR="00793D8D">
        <w:rPr>
          <w:color w:val="000000"/>
          <w:sz w:val="22"/>
          <w:szCs w:val="22"/>
          <w:lang w:val="es-CL"/>
        </w:rPr>
        <w:t xml:space="preserve"> </w:t>
      </w:r>
      <w:r w:rsidRPr="00345950">
        <w:rPr>
          <w:color w:val="000000"/>
          <w:sz w:val="22"/>
          <w:szCs w:val="22"/>
          <w:lang w:val="es-CL"/>
        </w:rPr>
        <w:t xml:space="preserve">2 </w:t>
      </w:r>
      <w:r w:rsidR="000712D5">
        <w:rPr>
          <w:color w:val="000000"/>
          <w:sz w:val="22"/>
          <w:szCs w:val="22"/>
          <w:lang w:val="es-CL"/>
        </w:rPr>
        <w:t>A</w:t>
      </w:r>
      <w:r w:rsidRPr="00345950">
        <w:rPr>
          <w:color w:val="000000"/>
          <w:sz w:val="22"/>
          <w:szCs w:val="22"/>
          <w:lang w:val="es-CL"/>
        </w:rPr>
        <w:t>pellido</w:t>
      </w:r>
      <w:r w:rsidR="00793D8D">
        <w:rPr>
          <w:color w:val="000000"/>
          <w:sz w:val="22"/>
          <w:szCs w:val="22"/>
          <w:lang w:val="es-CL"/>
        </w:rPr>
        <w:t xml:space="preserve"> </w:t>
      </w:r>
      <w:r w:rsidRPr="00345950">
        <w:rPr>
          <w:color w:val="000000"/>
          <w:sz w:val="22"/>
          <w:szCs w:val="22"/>
          <w:lang w:val="es-CL"/>
        </w:rPr>
        <w:t xml:space="preserve">1 </w:t>
      </w:r>
      <w:r w:rsidR="000712D5">
        <w:rPr>
          <w:color w:val="000000"/>
          <w:sz w:val="22"/>
          <w:szCs w:val="22"/>
          <w:lang w:val="es-CL"/>
        </w:rPr>
        <w:t>A</w:t>
      </w:r>
      <w:r w:rsidRPr="00345950">
        <w:rPr>
          <w:color w:val="000000"/>
          <w:sz w:val="22"/>
          <w:szCs w:val="22"/>
          <w:lang w:val="es-CL"/>
        </w:rPr>
        <w:t>pellido</w:t>
      </w:r>
      <w:r w:rsidR="00793D8D">
        <w:rPr>
          <w:color w:val="000000"/>
          <w:sz w:val="22"/>
          <w:szCs w:val="22"/>
          <w:lang w:val="es-CL"/>
        </w:rPr>
        <w:t xml:space="preserve"> </w:t>
      </w:r>
      <w:r w:rsidRPr="00345950">
        <w:rPr>
          <w:color w:val="000000"/>
          <w:sz w:val="22"/>
          <w:szCs w:val="22"/>
          <w:lang w:val="es-CL"/>
        </w:rPr>
        <w:t>2</w:t>
      </w:r>
    </w:p>
    <w:p w14:paraId="6CE1301B" w14:textId="77777777" w:rsidR="002748F2" w:rsidRPr="00345950" w:rsidRDefault="002748F2" w:rsidP="002748F2">
      <w:pPr>
        <w:pBdr>
          <w:top w:val="nil"/>
          <w:left w:val="nil"/>
          <w:bottom w:val="nil"/>
          <w:right w:val="nil"/>
          <w:between w:val="nil"/>
        </w:pBdr>
        <w:jc w:val="center"/>
        <w:rPr>
          <w:color w:val="000000"/>
          <w:sz w:val="22"/>
          <w:szCs w:val="22"/>
          <w:lang w:val="es-CL"/>
        </w:rPr>
      </w:pPr>
      <w:r w:rsidRPr="00345950">
        <w:rPr>
          <w:color w:val="000000"/>
          <w:sz w:val="22"/>
          <w:szCs w:val="22"/>
          <w:lang w:val="es-CL"/>
        </w:rPr>
        <w:t>Nombre</w:t>
      </w:r>
      <w:r>
        <w:rPr>
          <w:color w:val="000000"/>
          <w:sz w:val="22"/>
          <w:szCs w:val="22"/>
          <w:lang w:val="es-CL"/>
        </w:rPr>
        <w:t xml:space="preserve"> </w:t>
      </w:r>
      <w:r w:rsidRPr="00345950">
        <w:rPr>
          <w:color w:val="000000"/>
          <w:sz w:val="22"/>
          <w:szCs w:val="22"/>
          <w:lang w:val="es-CL"/>
        </w:rPr>
        <w:t>1 Nombre</w:t>
      </w:r>
      <w:r>
        <w:rPr>
          <w:color w:val="000000"/>
          <w:sz w:val="22"/>
          <w:szCs w:val="22"/>
          <w:lang w:val="es-CL"/>
        </w:rPr>
        <w:t xml:space="preserve"> </w:t>
      </w:r>
      <w:r w:rsidRPr="00345950">
        <w:rPr>
          <w:color w:val="000000"/>
          <w:sz w:val="22"/>
          <w:szCs w:val="22"/>
          <w:lang w:val="es-CL"/>
        </w:rPr>
        <w:t xml:space="preserve">2 </w:t>
      </w:r>
      <w:r>
        <w:rPr>
          <w:color w:val="000000"/>
          <w:sz w:val="22"/>
          <w:szCs w:val="22"/>
          <w:lang w:val="es-CL"/>
        </w:rPr>
        <w:t>A</w:t>
      </w:r>
      <w:r w:rsidRPr="00345950">
        <w:rPr>
          <w:color w:val="000000"/>
          <w:sz w:val="22"/>
          <w:szCs w:val="22"/>
          <w:lang w:val="es-CL"/>
        </w:rPr>
        <w:t>pellido</w:t>
      </w:r>
      <w:r>
        <w:rPr>
          <w:color w:val="000000"/>
          <w:sz w:val="22"/>
          <w:szCs w:val="22"/>
          <w:lang w:val="es-CL"/>
        </w:rPr>
        <w:t xml:space="preserve"> </w:t>
      </w:r>
      <w:r w:rsidRPr="00345950">
        <w:rPr>
          <w:color w:val="000000"/>
          <w:sz w:val="22"/>
          <w:szCs w:val="22"/>
          <w:lang w:val="es-CL"/>
        </w:rPr>
        <w:t xml:space="preserve">1 </w:t>
      </w:r>
      <w:r>
        <w:rPr>
          <w:color w:val="000000"/>
          <w:sz w:val="22"/>
          <w:szCs w:val="22"/>
          <w:lang w:val="es-CL"/>
        </w:rPr>
        <w:t>A</w:t>
      </w:r>
      <w:r w:rsidRPr="00345950">
        <w:rPr>
          <w:color w:val="000000"/>
          <w:sz w:val="22"/>
          <w:szCs w:val="22"/>
          <w:lang w:val="es-CL"/>
        </w:rPr>
        <w:t>pellido</w:t>
      </w:r>
      <w:r>
        <w:rPr>
          <w:color w:val="000000"/>
          <w:sz w:val="22"/>
          <w:szCs w:val="22"/>
          <w:lang w:val="es-CL"/>
        </w:rPr>
        <w:t xml:space="preserve"> </w:t>
      </w:r>
      <w:r w:rsidRPr="00345950">
        <w:rPr>
          <w:color w:val="000000"/>
          <w:sz w:val="22"/>
          <w:szCs w:val="22"/>
          <w:lang w:val="es-CL"/>
        </w:rPr>
        <w:t>2</w:t>
      </w:r>
    </w:p>
    <w:p w14:paraId="0363D5F3" w14:textId="77777777" w:rsidR="009C2DD5" w:rsidRPr="00345950" w:rsidRDefault="009C2DD5" w:rsidP="007F3A45">
      <w:pPr>
        <w:pBdr>
          <w:top w:val="nil"/>
          <w:left w:val="nil"/>
          <w:bottom w:val="nil"/>
          <w:right w:val="nil"/>
          <w:between w:val="nil"/>
        </w:pBdr>
        <w:jc w:val="center"/>
        <w:rPr>
          <w:color w:val="000000"/>
          <w:sz w:val="22"/>
          <w:szCs w:val="22"/>
          <w:lang w:val="es-CL"/>
        </w:rPr>
      </w:pPr>
    </w:p>
    <w:p w14:paraId="3D422E97" w14:textId="5A8AF0FA" w:rsidR="009C2DD5" w:rsidRPr="00345950" w:rsidRDefault="00EB3137" w:rsidP="007F3A45">
      <w:pPr>
        <w:pBdr>
          <w:top w:val="nil"/>
          <w:left w:val="nil"/>
          <w:bottom w:val="nil"/>
          <w:right w:val="nil"/>
          <w:between w:val="nil"/>
        </w:pBdr>
        <w:jc w:val="center"/>
        <w:rPr>
          <w:color w:val="000000"/>
          <w:sz w:val="22"/>
          <w:szCs w:val="22"/>
          <w:lang w:val="es-CL"/>
        </w:rPr>
      </w:pPr>
      <w:r w:rsidRPr="00345950">
        <w:rPr>
          <w:color w:val="000000"/>
          <w:sz w:val="22"/>
          <w:szCs w:val="22"/>
          <w:lang w:val="es-CL"/>
        </w:rPr>
        <w:t>Escuela de Ingeniería Civil Biomédica</w:t>
      </w:r>
      <w:r>
        <w:rPr>
          <w:color w:val="000000"/>
          <w:sz w:val="22"/>
          <w:szCs w:val="22"/>
          <w:lang w:val="es-CL"/>
        </w:rPr>
        <w:t xml:space="preserve">, </w:t>
      </w:r>
      <w:r w:rsidR="00B63CC4">
        <w:rPr>
          <w:color w:val="000000"/>
          <w:sz w:val="22"/>
          <w:szCs w:val="22"/>
          <w:lang w:val="es-CL"/>
        </w:rPr>
        <w:t xml:space="preserve">Facultad de </w:t>
      </w:r>
      <w:r w:rsidR="009C2DD5" w:rsidRPr="00345950">
        <w:rPr>
          <w:color w:val="000000"/>
          <w:sz w:val="22"/>
          <w:szCs w:val="22"/>
          <w:lang w:val="es-CL"/>
        </w:rPr>
        <w:t xml:space="preserve">Ingeniería, </w:t>
      </w:r>
      <w:r w:rsidR="00F53DF4" w:rsidRPr="00345950">
        <w:rPr>
          <w:color w:val="000000"/>
          <w:sz w:val="22"/>
          <w:szCs w:val="22"/>
          <w:lang w:val="es-CL"/>
        </w:rPr>
        <w:t>Universidad de Valparaíso</w:t>
      </w:r>
    </w:p>
    <w:p w14:paraId="6531D7CD" w14:textId="3396DA51" w:rsidR="00732E46" w:rsidRPr="00345950" w:rsidRDefault="00703EEB" w:rsidP="005B378B">
      <w:pPr>
        <w:pBdr>
          <w:top w:val="nil"/>
          <w:left w:val="nil"/>
          <w:bottom w:val="nil"/>
          <w:right w:val="nil"/>
          <w:between w:val="nil"/>
        </w:pBdr>
        <w:jc w:val="both"/>
        <w:rPr>
          <w:color w:val="000000"/>
          <w:sz w:val="22"/>
          <w:szCs w:val="22"/>
          <w:lang w:val="es-CL"/>
        </w:rPr>
      </w:pPr>
      <w:r w:rsidRPr="00345950">
        <w:rPr>
          <w:color w:val="000000"/>
          <w:sz w:val="22"/>
          <w:szCs w:val="22"/>
          <w:lang w:val="es-CL"/>
        </w:rPr>
        <w:t xml:space="preserve"> </w:t>
      </w:r>
    </w:p>
    <w:p w14:paraId="66416825" w14:textId="77777777" w:rsidR="00002FAF" w:rsidRPr="00345950" w:rsidRDefault="00002FAF" w:rsidP="005B378B">
      <w:pPr>
        <w:pBdr>
          <w:top w:val="nil"/>
          <w:left w:val="nil"/>
          <w:bottom w:val="nil"/>
          <w:right w:val="nil"/>
          <w:between w:val="nil"/>
        </w:pBdr>
        <w:spacing w:after="320"/>
        <w:ind w:firstLine="202"/>
        <w:jc w:val="both"/>
        <w:rPr>
          <w:b/>
          <w:i/>
          <w:color w:val="000000"/>
          <w:lang w:val="es-CL"/>
        </w:rPr>
      </w:pPr>
    </w:p>
    <w:p w14:paraId="06590BF3" w14:textId="77777777" w:rsidR="007E713A" w:rsidRPr="00345950" w:rsidRDefault="007E713A" w:rsidP="005B378B">
      <w:pPr>
        <w:pBdr>
          <w:top w:val="nil"/>
          <w:left w:val="nil"/>
          <w:bottom w:val="nil"/>
          <w:right w:val="nil"/>
          <w:between w:val="nil"/>
        </w:pBdr>
        <w:spacing w:before="20" w:after="320"/>
        <w:ind w:firstLine="202"/>
        <w:jc w:val="both"/>
        <w:rPr>
          <w:b/>
          <w:i/>
          <w:color w:val="000000"/>
          <w:lang w:val="es-CL"/>
        </w:rPr>
        <w:sectPr w:rsidR="007E713A" w:rsidRPr="00345950" w:rsidSect="00002FAF">
          <w:headerReference w:type="default" r:id="rId9"/>
          <w:type w:val="continuous"/>
          <w:pgSz w:w="12240" w:h="15840"/>
          <w:pgMar w:top="1008" w:right="936" w:bottom="1008" w:left="936" w:header="432" w:footer="432" w:gutter="0"/>
          <w:pgNumType w:start="1"/>
          <w:cols w:space="288"/>
        </w:sectPr>
      </w:pPr>
    </w:p>
    <w:p>
      <w:pPr>
        <w:pStyle w:val="Ttulo1"/>
        <w:jc w:val="center"/>
      </w:pPr>
      <w:r>
        <w:rPr>
          <w:lang w:val="es-CL"/>
        </w:rPr>
        <w:t>RESUMEN</w:t>
      </w:r>
    </w:p>
    <w:p>
      <w:pPr>
        <w:pStyle w:val="Text"/>
      </w:pPr>
      <w:r>
        <w:rPr>
          <w:lang w:val="es-CL"/>
        </w:rPr>
        <w:t xml:space="preserve">Los adultos mayores dados de alta presentan una incidencia de caídas posthospitalarias cercana al 14 % [1], y una caída que pasa desapercibida puede prolongarse en un </w:t>
      </w:r>
      <w:r>
        <w:rPr>
          <w:i/>
          <w:lang w:val="es-CL"/>
        </w:rPr>
        <w:t>long lie</w:t>
      </w:r>
      <w:r>
        <w:rPr>
          <w:lang w:val="es-CL"/>
        </w:rPr>
        <w:t xml:space="preserve">, con consecuencias físicas y psicológicas [2]. Este trabajo presenta el nodo hardware de una plataforma web de teleasistencia domiciliaria basada en un ESP32 de doble núcleo que ejecuta FreeRTOS. El nodo adquiere en paralelo la fotopletismografía del MAX30102 (frecuencia cardiaca y SpO₂ estimada), la aceleración triaxial del MPU6050 (±8 g, 50 Hz) y la temperatura cutánea del DS18B20 (1 Hz), cada uno en un bus propio, mientras un lector RFID-RC522 autentica a los operarios y gobierna LEDs y buzzer locales. El firmware se organiza en seis tareas repartidas entre ambos núcleos, comunicadas por colas y un mutex y sin ninguna llamada a delay(). Un algoritmo cinemático de tres fases (caída libre bajo 0,5 g, impacto sobre 2,5 g e inmovilidad durante 2 s) genera eventos que no se pierden aunque no haya sesión abierta. El firmware compila usando 22,9 % de la flash y 6,8 % de la RAM estática. En simulación con señales sintéticas confirmó la caída, clasificó como impacto un tropiezo con recuperación y no generó eventos durante la marcha; un sentarse brusco produjo un falso positivo que deberá descartar el protocolo interactivo de 60 s de la plataforma. </w:t>
      </w:r>
      <w:r>
        <w:rPr>
          <w:highlight w:val="yellow"/>
          <w:lang w:val="es-CL"/>
        </w:rPr>
        <w:t>COMPLETAR: resultados en banco (lecturas simultáneas, errores de bus y respuesta RFID medidos).</w:t>
      </w:r>
      <w:r>
        <w:rPr>
          <w:lang w:val="es-CL"/>
        </w:rPr>
        <w:t xml:space="preserve"> Se cumplen los objetivos de esta etapa: adquisición multisensor sin colisiones de bus, firmware no bloqueante y control de acceso local.</w:t>
      </w:r>
    </w:p>
    <w:p>
      <w:pPr>
        <w:pStyle w:val="Ttulo1"/>
        <w:jc w:val="center"/>
      </w:pPr>
      <w:r>
        <w:rPr>
          <w:lang w:val="es-CL"/>
        </w:rPr>
        <w:t>ESPECIFICACIONES TÉCNICAS</w:t>
      </w:r>
    </w:p>
    <w:p>
      <w:pPr>
        <w:pStyle w:val="Text"/>
      </w:pPr>
      <w:r>
        <w:rPr>
          <w:lang w:val="es-CL"/>
        </w:rPr>
        <w:t>Esta sección define el sistema a nivel funcional: el flujo de energía y señales (A), los requerimientos medibles (B), su sustento bibliográfico (C) y la arquitectura de firmware que los implementa (D).</w:t>
      </w:r>
    </w:p>
    <w:p>
      <w:pPr>
        <w:pStyle w:val="Ttulo2"/>
        <w:numPr>
          <w:ilvl w:val="0"/>
          <w:numId w:val="0"/>
        </w:numPr>
      </w:pPr>
      <w:r>
        <w:rPr>
          <w:lang w:val="es-CL"/>
        </w:rPr>
        <w:t>A. Diagrama de bloques</w:t>
      </w:r>
    </w:p>
    <w:p>
      <w:pPr>
        <w:pStyle w:val="Text"/>
      </w:pPr>
      <w:r>
        <w:rPr>
          <w:lang w:val="es-CL"/>
        </w:rPr>
        <w:t>La Fig. 1 resume el flujo Entradas → Procesamiento → Comunicación → Salidas. La energía ingresa como 5 V DC por USB y el regulador lineal de la placa entrega 3,3 V al ESP32 y a los cuatro sensores, de modo que todas las líneas de datos comparten el mismo nivel lógico y no se requieren traductores de nivel [3].</w:t>
      </w:r>
    </w:p>
    <w:p>
      <w:pPr>
        <w:pStyle w:val="Text"/>
      </w:pPr>
      <w:r>
        <w:rPr>
          <w:lang w:val="es-CL"/>
        </w:rPr>
        <w:t>Cada sensor usa un periférico propio: el MAX30102 ocupa el controlador I²C 0 (GPIO21/22), el MPU6050 el controlador I²C 1 (GPIO32/33), el DS18B20 el bus 1-Wire en GPIO4 y el RC522 el bus SPI (SS en GPIO5, RST en GPIO27). Asignar un bus por dispositivo elimina por construcción los conflictos de dirección y la contención entre tareas de núcleos distintos, porque ninguna línea física es compartida por dos tareas. El procesamiento se separa por núcleo: el núcleo 1 concentra la adquisición biomédica y el algoritmo de caída; el núcleo 0 atiende la interfaz local (RFID, LEDs y buzzer) y la telemetría, que hoy sale por UART a 115 200 bit/s y en la etapa IoT saldrá por Wi-Fi, autenticada con JSON Web Tokens (JWT) [4], hacia el servidor Flask-SocketIO.</w:t>
      </w:r>
    </w:p>
    <w:p>
      <w:pPr>
        <w:keepNext/>
        <w:spacing w:before="120"/>
        <w:jc w:val="center"/>
      </w:pPr>
      <w:r>
        <w:drawing>
          <wp:inline xmlns:a="http://schemas.openxmlformats.org/drawingml/2006/main" xmlns:pic="http://schemas.openxmlformats.org/drawingml/2006/picture">
            <wp:extent cx="3154680" cy="2704011"/>
            <wp:docPr id="1" name="Picture 1"/>
            <wp:cNvGraphicFramePr>
              <a:graphicFrameLocks noChangeAspect="1"/>
            </wp:cNvGraphicFramePr>
            <a:graphic>
              <a:graphicData uri="http://schemas.openxmlformats.org/drawingml/2006/picture">
                <pic:pic>
                  <pic:nvPicPr>
                    <pic:cNvPr id="0" name="bloques.png"/>
                    <pic:cNvPicPr/>
                  </pic:nvPicPr>
                  <pic:blipFill>
                    <a:blip r:embed="rId13"/>
                    <a:stretch>
                      <a:fillRect/>
                    </a:stretch>
                  </pic:blipFill>
                  <pic:spPr>
                    <a:xfrm>
                      <a:off x="0" y="0"/>
                      <a:ext cx="3154680" cy="2704011"/>
                    </a:xfrm>
                    <a:prstGeom prst="rect"/>
                  </pic:spPr>
                </pic:pic>
              </a:graphicData>
            </a:graphic>
          </wp:inline>
        </w:drawing>
      </w:r>
    </w:p>
    <w:p>
      <w:pPr>
        <w:pStyle w:val="FigureCaption"/>
        <w:spacing w:after="160" w:before="60"/>
      </w:pPr>
      <w:r>
        <w:rPr>
          <w:lang w:val="es-CL"/>
        </w:rPr>
        <w:t>Fig. 1. Diagrama de bloques del nodo hardware: energía (amarillo), sensores (azul), procesamiento por núcleo (verde), comunicación (lila) y actuadores (rojo). El bloque segmentado corresponde a la etapa IoT.</w:t>
      </w:r>
    </w:p>
    <w:p>
      <w:pPr>
        <w:pStyle w:val="Ttulo2"/>
        <w:numPr>
          <w:ilvl w:val="0"/>
          <w:numId w:val="0"/>
        </w:numPr>
      </w:pPr>
      <w:r>
        <w:rPr>
          <w:lang w:val="es-CL"/>
        </w:rPr>
        <w:t>B. Tabla de requerimientos</w:t>
      </w:r>
    </w:p>
    <w:p>
      <w:pPr>
        <w:pStyle w:val="Text"/>
      </w:pPr>
      <w:r>
        <w:rPr>
          <w:lang w:val="es-CL"/>
        </w:rPr>
        <w:t>La Tabla I reúne los parámetros medibles del nodo. Los valores de muestreo, resolución y consumo provienen de las hojas de datos y de los cálculos de la Sección III-B; los de memoria, del resultado de compilación con el núcleo Arduino-ESP32 2.0.17. Los umbrales del algoritmo de caída son valores iniciales que se ajustarán con las pruebas del grupo, siguiendo la lógica de umbral bajo, umbral alto y verificación posterior descrita en [5].</w:t>
      </w:r>
    </w:p>
    <w:p>
      <w:pPr>
        <w:pStyle w:val="TableTitle"/>
        <w:keepNext/>
        <w:spacing w:before="160"/>
      </w:pPr>
      <w:r>
        <w:rPr>
          <w:lang w:val="es-CL"/>
        </w:rPr>
        <w:t>TABLA I</w:t>
      </w:r>
    </w:p>
    <w:p>
      <w:pPr>
        <w:pStyle w:val="TableTitle"/>
        <w:keepNext/>
        <w:spacing w:after="60"/>
      </w:pPr>
      <w:r>
        <w:rPr>
          <w:lang w:val="es-CL"/>
        </w:rPr>
        <w:t>Requerimientos medibles del nodo hardware</w:t>
      </w:r>
    </w:p>
    <w:tbl>
      <w:tblPr>
        <w:tblW w:w="5040" w:type="dxa"/>
        <w:jc w:val="center"/>
        <w:tblBorders>
          <w:top w:val="single" w:sz="8" w:space="0" w:color="000000"/>
          <w:left w:val="nil"/>
          <w:bottom w:val="single" w:sz="8" w:space="0" w:color="000000"/>
          <w:right w:val="nil"/>
          <w:insideH w:val="single" w:sz="2" w:space="0" w:color="999999"/>
          <w:insideV w:val="nil"/>
        </w:tblBorders>
        <w:tblLayout w:type="fixed"/>
        <w:tblCellMar>
          <w:left w:w="50" w:type="dxa"/>
          <w:right w:w="50" w:type="dxa"/>
        </w:tblCellMar>
        <w:tblLook w:firstColumn="1" w:firstRow="1" w:lastColumn="0" w:lastRow="0" w:noHBand="0" w:noVBand="1" w:val="04A0"/>
      </w:tblPr>
      <w:tblGrid>
        <w:gridCol w:w="1150"/>
        <w:gridCol w:w="2950"/>
        <w:gridCol w:w="940"/>
      </w:tblGrid>
      <w:tr>
        <w:trPr>
          <w:cantSplit/>
          <w:tblHeader/>
        </w:trPr>
        <w:tc>
          <w:tcPr>
            <w:tcW w:type="dxa" w:w="1150"/>
            <w:tcBorders>
              <w:bottom w:val="single" w:sz="6" w:space="0" w:color="000000"/>
            </w:tcBorders>
          </w:tcPr>
          <w:p>
            <w:pPr>
              <w:spacing w:before="20" w:after="20"/>
              <w:jc w:val="left"/>
            </w:pPr>
            <w:r>
              <w:rPr>
                <w:b/>
                <w:sz w:val="15"/>
                <w:lang w:val="es-CL"/>
              </w:rPr>
              <w:t>Parámetro</w:t>
            </w:r>
          </w:p>
        </w:tc>
        <w:tc>
          <w:tcPr>
            <w:tcW w:type="dxa" w:w="2950"/>
            <w:tcBorders>
              <w:bottom w:val="single" w:sz="6" w:space="0" w:color="000000"/>
            </w:tcBorders>
          </w:tcPr>
          <w:p>
            <w:pPr>
              <w:spacing w:before="20" w:after="20"/>
              <w:jc w:val="left"/>
            </w:pPr>
            <w:r>
              <w:rPr>
                <w:b/>
                <w:sz w:val="15"/>
                <w:lang w:val="es-CL"/>
              </w:rPr>
              <w:t>Especificación</w:t>
            </w:r>
          </w:p>
        </w:tc>
        <w:tc>
          <w:tcPr>
            <w:tcW w:type="dxa" w:w="940"/>
            <w:tcBorders>
              <w:bottom w:val="single" w:sz="6" w:space="0" w:color="000000"/>
            </w:tcBorders>
          </w:tcPr>
          <w:p>
            <w:pPr>
              <w:spacing w:before="20" w:after="20"/>
              <w:jc w:val="left"/>
            </w:pPr>
            <w:r>
              <w:rPr>
                <w:b/>
                <w:sz w:val="15"/>
                <w:lang w:val="es-CL"/>
              </w:rPr>
              <w:t>Fuente</w:t>
            </w:r>
          </w:p>
        </w:tc>
      </w:tr>
      <w:tr>
        <w:trPr>
          <w:cantSplit/>
        </w:trPr>
        <w:tc>
          <w:tcPr>
            <w:tcW w:type="dxa" w:w="1150"/>
          </w:tcPr>
          <w:p>
            <w:pPr>
              <w:spacing w:before="20" w:after="20"/>
              <w:jc w:val="left"/>
            </w:pPr>
            <w:r>
              <w:rPr>
                <w:sz w:val="15"/>
                <w:lang w:val="es-CL"/>
              </w:rPr>
              <w:t>Alimentación</w:t>
            </w:r>
          </w:p>
        </w:tc>
        <w:tc>
          <w:tcPr>
            <w:tcW w:type="dxa" w:w="2950"/>
          </w:tcPr>
          <w:p>
            <w:pPr>
              <w:spacing w:before="20" w:after="20"/>
              <w:jc w:val="left"/>
            </w:pPr>
            <w:r>
              <w:rPr>
                <w:sz w:val="15"/>
                <w:lang w:val="es-CL"/>
              </w:rPr>
              <w:t>5 V DC (USB); lógica de 3,3 V</w:t>
            </w:r>
          </w:p>
        </w:tc>
        <w:tc>
          <w:tcPr>
            <w:tcW w:type="dxa" w:w="940"/>
          </w:tcPr>
          <w:p>
            <w:pPr>
              <w:spacing w:before="20" w:after="20"/>
              <w:jc w:val="left"/>
            </w:pPr>
            <w:r>
              <w:rPr>
                <w:sz w:val="15"/>
                <w:lang w:val="es-CL"/>
              </w:rPr>
              <w:t>[3]</w:t>
            </w:r>
          </w:p>
        </w:tc>
      </w:tr>
      <w:tr>
        <w:trPr>
          <w:cantSplit/>
        </w:trPr>
        <w:tc>
          <w:tcPr>
            <w:tcW w:type="dxa" w:w="1150"/>
          </w:tcPr>
          <w:p>
            <w:pPr>
              <w:spacing w:before="20" w:after="20"/>
              <w:jc w:val="left"/>
            </w:pPr>
            <w:r>
              <w:rPr>
                <w:sz w:val="15"/>
                <w:lang w:val="es-CL"/>
              </w:rPr>
              <w:t>Consumo estimado</w:t>
            </w:r>
          </w:p>
        </w:tc>
        <w:tc>
          <w:tcPr>
            <w:tcW w:type="dxa" w:w="2950"/>
          </w:tcPr>
          <w:p>
            <w:pPr>
              <w:spacing w:before="20" w:after="20"/>
              <w:jc w:val="left"/>
            </w:pPr>
            <w:r>
              <w:rPr>
                <w:sz w:val="15"/>
                <w:lang w:val="es-CL"/>
              </w:rPr>
              <w:t>≈ 144 mA sin Wi-Fi; ≈ 316 mA pico con Wi-Fi en transmisión</w:t>
            </w:r>
          </w:p>
        </w:tc>
        <w:tc>
          <w:tcPr>
            <w:tcW w:type="dxa" w:w="940"/>
          </w:tcPr>
          <w:p>
            <w:pPr>
              <w:spacing w:before="20" w:after="20"/>
              <w:jc w:val="left"/>
            </w:pPr>
            <w:r>
              <w:rPr>
                <w:sz w:val="15"/>
                <w:lang w:val="es-CL"/>
              </w:rPr>
              <w:t>Tabla III</w:t>
            </w:r>
          </w:p>
        </w:tc>
      </w:tr>
      <w:tr>
        <w:trPr>
          <w:cantSplit/>
        </w:trPr>
        <w:tc>
          <w:tcPr>
            <w:tcW w:type="dxa" w:w="1150"/>
          </w:tcPr>
          <w:p>
            <w:pPr>
              <w:spacing w:before="20" w:after="20"/>
              <w:jc w:val="left"/>
            </w:pPr>
            <w:r>
              <w:rPr>
                <w:sz w:val="15"/>
                <w:lang w:val="es-CL"/>
              </w:rPr>
              <w:t>Acelerómetro</w:t>
            </w:r>
          </w:p>
        </w:tc>
        <w:tc>
          <w:tcPr>
            <w:tcW w:type="dxa" w:w="2950"/>
          </w:tcPr>
          <w:p>
            <w:pPr>
              <w:spacing w:before="20" w:after="20"/>
              <w:jc w:val="left"/>
            </w:pPr>
            <w:r>
              <w:rPr>
                <w:sz w:val="15"/>
                <w:lang w:val="es-CL"/>
              </w:rPr>
              <w:t>±8 g, 16 bit (0,244 mg/LSB), 50 Hz, filtro digital de 21 Hz</w:t>
            </w:r>
          </w:p>
        </w:tc>
        <w:tc>
          <w:tcPr>
            <w:tcW w:type="dxa" w:w="940"/>
          </w:tcPr>
          <w:p>
            <w:pPr>
              <w:spacing w:before="20" w:after="20"/>
              <w:jc w:val="left"/>
            </w:pPr>
            <w:r>
              <w:rPr>
                <w:sz w:val="15"/>
                <w:lang w:val="es-CL"/>
              </w:rPr>
              <w:t>[6], [7]</w:t>
            </w:r>
          </w:p>
        </w:tc>
      </w:tr>
      <w:tr>
        <w:trPr>
          <w:cantSplit/>
        </w:trPr>
        <w:tc>
          <w:tcPr>
            <w:tcW w:type="dxa" w:w="1150"/>
          </w:tcPr>
          <w:p>
            <w:pPr>
              <w:spacing w:before="20" w:after="20"/>
              <w:jc w:val="left"/>
            </w:pPr>
            <w:r>
              <w:rPr>
                <w:sz w:val="15"/>
                <w:lang w:val="es-CL"/>
              </w:rPr>
              <w:t>Detección de caída</w:t>
            </w:r>
          </w:p>
        </w:tc>
        <w:tc>
          <w:tcPr>
            <w:tcW w:type="dxa" w:w="2950"/>
          </w:tcPr>
          <w:p>
            <w:pPr>
              <w:spacing w:before="20" w:after="20"/>
              <w:jc w:val="left"/>
            </w:pPr>
            <w:r>
              <w:rPr>
                <w:sz w:val="15"/>
                <w:lang w:val="es-CL"/>
              </w:rPr>
              <w:t>Caída libre &lt; 0,5 g (≥ 60 ms); impacto &gt; 2,5 g (≤ 500 ms); inmovilidad ≥ 80 % de 2 s</w:t>
            </w:r>
          </w:p>
        </w:tc>
        <w:tc>
          <w:tcPr>
            <w:tcW w:type="dxa" w:w="940"/>
          </w:tcPr>
          <w:p>
            <w:pPr>
              <w:spacing w:before="20" w:after="20"/>
              <w:jc w:val="left"/>
            </w:pPr>
            <w:r>
              <w:rPr>
                <w:sz w:val="15"/>
                <w:lang w:val="es-CL"/>
              </w:rPr>
              <w:t>[5]</w:t>
            </w:r>
          </w:p>
        </w:tc>
      </w:tr>
      <w:tr>
        <w:trPr>
          <w:cantSplit/>
        </w:trPr>
        <w:tc>
          <w:tcPr>
            <w:tcW w:type="dxa" w:w="1150"/>
          </w:tcPr>
          <w:p>
            <w:pPr>
              <w:spacing w:before="20" w:after="20"/>
              <w:jc w:val="left"/>
            </w:pPr>
            <w:r>
              <w:rPr>
                <w:sz w:val="15"/>
                <w:lang w:val="es-CL"/>
              </w:rPr>
              <w:t>Fotopletismografía</w:t>
            </w:r>
          </w:p>
        </w:tc>
        <w:tc>
          <w:tcPr>
            <w:tcW w:type="dxa" w:w="2950"/>
          </w:tcPr>
          <w:p>
            <w:pPr>
              <w:spacing w:before="20" w:after="20"/>
              <w:jc w:val="left"/>
            </w:pPr>
            <w:r>
              <w:rPr>
                <w:sz w:val="15"/>
                <w:lang w:val="es-CL"/>
              </w:rPr>
              <w:t>400 sps con promedio de 4 → 100 Hz; 18 bit; LED de 6,2 mA</w:t>
            </w:r>
          </w:p>
        </w:tc>
        <w:tc>
          <w:tcPr>
            <w:tcW w:type="dxa" w:w="940"/>
          </w:tcPr>
          <w:p>
            <w:pPr>
              <w:spacing w:before="20" w:after="20"/>
              <w:jc w:val="left"/>
            </w:pPr>
            <w:r>
              <w:rPr>
                <w:sz w:val="15"/>
                <w:lang w:val="es-CL"/>
              </w:rPr>
              <w:t>[8]</w:t>
            </w:r>
          </w:p>
        </w:tc>
      </w:tr>
      <w:tr>
        <w:trPr>
          <w:cantSplit/>
        </w:trPr>
        <w:tc>
          <w:tcPr>
            <w:tcW w:type="dxa" w:w="1150"/>
          </w:tcPr>
          <w:p>
            <w:pPr>
              <w:spacing w:before="20" w:after="20"/>
              <w:jc w:val="left"/>
            </w:pPr>
            <w:r>
              <w:rPr>
                <w:sz w:val="15"/>
                <w:lang w:val="es-CL"/>
              </w:rPr>
              <w:t>Frecuencia cardiaca</w:t>
            </w:r>
          </w:p>
        </w:tc>
        <w:tc>
          <w:tcPr>
            <w:tcW w:type="dxa" w:w="2950"/>
          </w:tcPr>
          <w:p>
            <w:pPr>
              <w:spacing w:before="20" w:after="20"/>
              <w:jc w:val="left"/>
            </w:pPr>
            <w:r>
              <w:rPr>
                <w:sz w:val="15"/>
                <w:lang w:val="es-CL"/>
              </w:rPr>
              <w:t>45–200 lpm; resolución ±0,94 lpm a 75 lpm</w:t>
            </w:r>
          </w:p>
        </w:tc>
        <w:tc>
          <w:tcPr>
            <w:tcW w:type="dxa" w:w="940"/>
          </w:tcPr>
          <w:p>
            <w:pPr>
              <w:spacing w:before="20" w:after="20"/>
              <w:jc w:val="left"/>
            </w:pPr>
            <w:r>
              <w:rPr>
                <w:sz w:val="15"/>
                <w:lang w:val="es-CL"/>
              </w:rPr>
              <w:t>Ec. (4)</w:t>
            </w:r>
          </w:p>
        </w:tc>
      </w:tr>
      <w:tr>
        <w:trPr>
          <w:cantSplit/>
        </w:trPr>
        <w:tc>
          <w:tcPr>
            <w:tcW w:type="dxa" w:w="1150"/>
          </w:tcPr>
          <w:p>
            <w:pPr>
              <w:spacing w:before="20" w:after="20"/>
              <w:jc w:val="left"/>
            </w:pPr>
            <w:r>
              <w:rPr>
                <w:sz w:val="15"/>
                <w:lang w:val="es-CL"/>
              </w:rPr>
              <w:t>SpO₂</w:t>
            </w:r>
          </w:p>
        </w:tc>
        <w:tc>
          <w:tcPr>
            <w:tcW w:type="dxa" w:w="2950"/>
          </w:tcPr>
          <w:p>
            <w:pPr>
              <w:spacing w:before="20" w:after="20"/>
              <w:jc w:val="left"/>
            </w:pPr>
            <w:r>
              <w:rPr>
                <w:sz w:val="15"/>
                <w:lang w:val="es-CL"/>
              </w:rPr>
              <w:t>85–99 %, no calibrada (meta normativa: Arms ≤ 4 %)</w:t>
            </w:r>
          </w:p>
        </w:tc>
        <w:tc>
          <w:tcPr>
            <w:tcW w:type="dxa" w:w="940"/>
          </w:tcPr>
          <w:p>
            <w:pPr>
              <w:spacing w:before="20" w:after="20"/>
              <w:jc w:val="left"/>
            </w:pPr>
            <w:r>
              <w:rPr>
                <w:sz w:val="15"/>
                <w:lang w:val="es-CL"/>
              </w:rPr>
              <w:t>[9], [10]</w:t>
            </w:r>
          </w:p>
        </w:tc>
      </w:tr>
      <w:tr>
        <w:trPr>
          <w:cantSplit/>
        </w:trPr>
        <w:tc>
          <w:tcPr>
            <w:tcW w:type="dxa" w:w="1150"/>
          </w:tcPr>
          <w:p>
            <w:pPr>
              <w:spacing w:before="20" w:after="20"/>
              <w:jc w:val="left"/>
            </w:pPr>
            <w:r>
              <w:rPr>
                <w:sz w:val="15"/>
                <w:lang w:val="es-CL"/>
              </w:rPr>
              <w:t>Temperatura</w:t>
            </w:r>
          </w:p>
        </w:tc>
        <w:tc>
          <w:tcPr>
            <w:tcW w:type="dxa" w:w="2950"/>
          </w:tcPr>
          <w:p>
            <w:pPr>
              <w:spacing w:before="20" w:after="20"/>
              <w:jc w:val="left"/>
            </w:pPr>
            <w:r>
              <w:rPr>
                <w:sz w:val="15"/>
                <w:lang w:val="es-CL"/>
              </w:rPr>
              <w:t>Cutánea, 1 Hz, 0,0625 °C, exactitud ±0,5 °C</w:t>
            </w:r>
          </w:p>
        </w:tc>
        <w:tc>
          <w:tcPr>
            <w:tcW w:type="dxa" w:w="940"/>
          </w:tcPr>
          <w:p>
            <w:pPr>
              <w:spacing w:before="20" w:after="20"/>
              <w:jc w:val="left"/>
            </w:pPr>
            <w:r>
              <w:rPr>
                <w:sz w:val="15"/>
                <w:lang w:val="es-CL"/>
              </w:rPr>
              <w:t>[11], [12]</w:t>
            </w:r>
          </w:p>
        </w:tc>
      </w:tr>
      <w:tr>
        <w:trPr>
          <w:cantSplit/>
        </w:trPr>
        <w:tc>
          <w:tcPr>
            <w:tcW w:type="dxa" w:w="1150"/>
          </w:tcPr>
          <w:p>
            <w:pPr>
              <w:spacing w:before="20" w:after="20"/>
              <w:jc w:val="left"/>
            </w:pPr>
            <w:r>
              <w:rPr>
                <w:sz w:val="15"/>
                <w:lang w:val="es-CL"/>
              </w:rPr>
              <w:t>Control de acceso</w:t>
            </w:r>
          </w:p>
        </w:tc>
        <w:tc>
          <w:tcPr>
            <w:tcW w:type="dxa" w:w="2950"/>
          </w:tcPr>
          <w:p>
            <w:pPr>
              <w:spacing w:before="20" w:after="20"/>
              <w:jc w:val="left"/>
            </w:pPr>
            <w:r>
              <w:rPr>
                <w:sz w:val="15"/>
                <w:lang w:val="es-CL"/>
              </w:rPr>
              <w:t>RFID 13,56 MHz ISO/IEC 14443 A; respuesta local ≤ 160 ms</w:t>
            </w:r>
          </w:p>
        </w:tc>
        <w:tc>
          <w:tcPr>
            <w:tcW w:type="dxa" w:w="940"/>
          </w:tcPr>
          <w:p>
            <w:pPr>
              <w:spacing w:before="20" w:after="20"/>
              <w:jc w:val="left"/>
            </w:pPr>
            <w:r>
              <w:rPr>
                <w:sz w:val="15"/>
                <w:lang w:val="es-CL"/>
              </w:rPr>
              <w:t>[13]</w:t>
            </w:r>
          </w:p>
        </w:tc>
      </w:tr>
      <w:tr>
        <w:trPr>
          <w:cantSplit/>
        </w:trPr>
        <w:tc>
          <w:tcPr>
            <w:tcW w:type="dxa" w:w="1150"/>
          </w:tcPr>
          <w:p>
            <w:pPr>
              <w:spacing w:before="20" w:after="20"/>
              <w:jc w:val="left"/>
            </w:pPr>
            <w:r>
              <w:rPr>
                <w:sz w:val="15"/>
                <w:lang w:val="es-CL"/>
              </w:rPr>
              <w:t>Alarma local de caída</w:t>
            </w:r>
          </w:p>
        </w:tc>
        <w:tc>
          <w:tcPr>
            <w:tcW w:type="dxa" w:w="2950"/>
          </w:tcPr>
          <w:p>
            <w:pPr>
              <w:spacing w:before="20" w:after="20"/>
              <w:jc w:val="left"/>
            </w:pPr>
            <w:r>
              <w:rPr>
                <w:sz w:val="15"/>
                <w:lang w:val="es-CL"/>
              </w:rPr>
              <w:t>≤ 2,53 s después del impacto</w:t>
            </w:r>
          </w:p>
        </w:tc>
        <w:tc>
          <w:tcPr>
            <w:tcW w:type="dxa" w:w="940"/>
          </w:tcPr>
          <w:p>
            <w:pPr>
              <w:spacing w:before="20" w:after="20"/>
              <w:jc w:val="left"/>
            </w:pPr>
            <w:r>
              <w:rPr>
                <w:sz w:val="15"/>
                <w:lang w:val="es-CL"/>
              </w:rPr>
              <w:t>Sec. II-D</w:t>
            </w:r>
          </w:p>
        </w:tc>
      </w:tr>
      <w:tr>
        <w:trPr>
          <w:cantSplit/>
        </w:trPr>
        <w:tc>
          <w:tcPr>
            <w:tcW w:type="dxa" w:w="1150"/>
          </w:tcPr>
          <w:p>
            <w:pPr>
              <w:spacing w:before="20" w:after="20"/>
              <w:jc w:val="left"/>
            </w:pPr>
            <w:r>
              <w:rPr>
                <w:sz w:val="15"/>
                <w:lang w:val="es-CL"/>
              </w:rPr>
              <w:t>Planificación</w:t>
            </w:r>
          </w:p>
        </w:tc>
        <w:tc>
          <w:tcPr>
            <w:tcW w:type="dxa" w:w="2950"/>
          </w:tcPr>
          <w:p>
            <w:pPr>
              <w:spacing w:before="20" w:after="20"/>
              <w:jc w:val="left"/>
            </w:pPr>
            <w:r>
              <w:rPr>
                <w:sz w:val="15"/>
                <w:lang w:val="es-CL"/>
              </w:rPr>
              <w:t>FreeRTOS, 6 tareas en 2 núcleos, tick de 1 ms, 0 llamadas a delay()</w:t>
            </w:r>
          </w:p>
        </w:tc>
        <w:tc>
          <w:tcPr>
            <w:tcW w:type="dxa" w:w="940"/>
          </w:tcPr>
          <w:p>
            <w:pPr>
              <w:spacing w:before="20" w:after="20"/>
              <w:jc w:val="left"/>
            </w:pPr>
            <w:r>
              <w:rPr>
                <w:sz w:val="15"/>
                <w:lang w:val="es-CL"/>
              </w:rPr>
              <w:t>[14]</w:t>
            </w:r>
          </w:p>
        </w:tc>
      </w:tr>
      <w:tr>
        <w:trPr>
          <w:cantSplit/>
        </w:trPr>
        <w:tc>
          <w:tcPr>
            <w:tcW w:type="dxa" w:w="1150"/>
          </w:tcPr>
          <w:p>
            <w:pPr>
              <w:spacing w:before="20" w:after="20"/>
              <w:jc w:val="left"/>
            </w:pPr>
            <w:r>
              <w:rPr>
                <w:sz w:val="15"/>
                <w:lang w:val="es-CL"/>
              </w:rPr>
              <w:t>Memoria</w:t>
            </w:r>
          </w:p>
        </w:tc>
        <w:tc>
          <w:tcPr>
            <w:tcW w:type="dxa" w:w="2950"/>
          </w:tcPr>
          <w:p>
            <w:pPr>
              <w:spacing w:before="20" w:after="20"/>
              <w:jc w:val="left"/>
            </w:pPr>
            <w:r>
              <w:rPr>
                <w:sz w:val="15"/>
                <w:lang w:val="es-CL"/>
              </w:rPr>
              <w:t>Flash 299 609 B (22,9 %); RAM estática 22 204 B (6,8 %)</w:t>
            </w:r>
          </w:p>
        </w:tc>
        <w:tc>
          <w:tcPr>
            <w:tcW w:type="dxa" w:w="940"/>
          </w:tcPr>
          <w:p>
            <w:pPr>
              <w:spacing w:before="20" w:after="20"/>
              <w:jc w:val="left"/>
            </w:pPr>
            <w:r>
              <w:rPr>
                <w:sz w:val="15"/>
                <w:lang w:val="es-CL"/>
              </w:rPr>
              <w:t>Compilación</w:t>
            </w:r>
          </w:p>
        </w:tc>
      </w:tr>
      <w:tr>
        <w:trPr>
          <w:cantSplit/>
        </w:trPr>
        <w:tc>
          <w:tcPr>
            <w:tcW w:type="dxa" w:w="1150"/>
          </w:tcPr>
          <w:p>
            <w:pPr>
              <w:spacing w:before="20" w:after="20"/>
              <w:jc w:val="left"/>
            </w:pPr>
            <w:r>
              <w:rPr>
                <w:sz w:val="15"/>
                <w:lang w:val="es-CL"/>
              </w:rPr>
              <w:t>Comunicación</w:t>
            </w:r>
          </w:p>
        </w:tc>
        <w:tc>
          <w:tcPr>
            <w:tcW w:type="dxa" w:w="2950"/>
          </w:tcPr>
          <w:p>
            <w:pPr>
              <w:spacing w:before="20" w:after="20"/>
              <w:jc w:val="left"/>
            </w:pPr>
            <w:r>
              <w:rPr>
                <w:sz w:val="15"/>
                <w:lang w:val="es-CL"/>
              </w:rPr>
              <w:t>UART 115 200 bit/s; Wi-Fi + JWT en la etapa IoT</w:t>
            </w:r>
          </w:p>
        </w:tc>
        <w:tc>
          <w:tcPr>
            <w:tcW w:type="dxa" w:w="940"/>
          </w:tcPr>
          <w:p>
            <w:pPr>
              <w:spacing w:before="20" w:after="20"/>
              <w:jc w:val="left"/>
            </w:pPr>
            <w:r>
              <w:rPr>
                <w:sz w:val="15"/>
                <w:lang w:val="es-CL"/>
              </w:rPr>
              <w:t>[4], [15]</w:t>
            </w:r>
          </w:p>
        </w:tc>
      </w:tr>
    </w:tbl>
    <w:p>
      <w:pPr>
        <w:spacing w:after="40"/>
      </w:pPr>
    </w:p>
    <w:p>
      <w:pPr>
        <w:pStyle w:val="Ttulo2"/>
        <w:numPr>
          <w:ilvl w:val="0"/>
          <w:numId w:val="0"/>
        </w:numPr>
      </w:pPr>
      <w:r>
        <w:rPr>
          <w:lang w:val="es-CL"/>
        </w:rPr>
        <w:t>C. Contexto clínico y análisis del estado del arte</w:t>
      </w:r>
    </w:p>
    <w:p>
      <w:pPr>
        <w:pStyle w:val="Text"/>
      </w:pPr>
      <w:r>
        <w:rPr>
          <w:lang w:val="es-CL"/>
        </w:rPr>
        <w:t xml:space="preserve">El problema clínico está bien acotado en la literatura. Un metaanálisis de 18 cohortes con cerca de 9 millones de adultos mayores dados de alta reportó que alrededor del 14 % cae al menos una vez después del egreso y cerca del 10 % lo hace de forma recurrente; los predictores más fuertes fueron las caídas y fracturas previas, el delirio y la enfermedad neurológica [1]. Ese perfil coincide con el del paciente geriátrico postoperado y justifica un monitor domiciliario centrado en caídas, más que un monitor de signos vitales genérico. La revisión de alcance de Kubitza </w:t>
      </w:r>
      <w:r>
        <w:rPr>
          <w:i/>
          <w:lang w:val="es-CL"/>
        </w:rPr>
        <w:t>et al.</w:t>
      </w:r>
      <w:r>
        <w:rPr>
          <w:lang w:val="es-CL"/>
        </w:rPr>
        <w:t xml:space="preserve"> [2] agrega un matiz que condiciona el diseño: no existe una definición estándar de </w:t>
      </w:r>
      <w:r>
        <w:rPr>
          <w:i/>
          <w:lang w:val="es-CL"/>
        </w:rPr>
        <w:t>long lie</w:t>
      </w:r>
      <w:r>
        <w:rPr>
          <w:lang w:val="es-CL"/>
        </w:rPr>
        <w:t>, y la duración y el lugar no bastan para describirlo, porque también importan la incapacidad de levantarse y la indefensión. En consecuencia, el sistema no puede suponer que el paciente pedirá ayuda: si no responde a la consulta en pantalla en 60 s, el servidor escala la alerta de forma automática.</w:t>
      </w:r>
    </w:p>
    <w:p>
      <w:pPr>
        <w:pStyle w:val="Text"/>
      </w:pPr>
      <w:r>
        <w:rPr>
          <w:lang w:val="es-CL"/>
        </w:rPr>
        <w:t xml:space="preserve">En detección de caídas, la revisión de Karar </w:t>
      </w:r>
      <w:r>
        <w:rPr>
          <w:i/>
          <w:lang w:val="es-CL"/>
        </w:rPr>
        <w:t>et al.</w:t>
      </w:r>
      <w:r>
        <w:rPr>
          <w:lang w:val="es-CL"/>
        </w:rPr>
        <w:t xml:space="preserve"> [16] muestra que la investigación IoT se ha desplazado hacia el aprendizaje automático y profundo, pero identifica una limitación que pesa en este proyecto: la escasez de bases de datos públicas para evaluar los algoritmos; como línea futura proponen modelos de aprendizaje profundo livianos. Moutsis </w:t>
      </w:r>
      <w:r>
        <w:rPr>
          <w:i/>
          <w:lang w:val="es-CL"/>
        </w:rPr>
        <w:t>et al.</w:t>
      </w:r>
      <w:r>
        <w:rPr>
          <w:lang w:val="es-CL"/>
        </w:rPr>
        <w:t xml:space="preserve"> [5] muestran que un método basado solo en umbrales sobre la magnitud vectorial, independiente de la orientación del sensor, alcanza sensibilidades de 90,4 % y 91,6 % y especificidades de 94,0 % y 85,9 % en las bases MMsys y KFall, cuando vincula un tramo de aceleración baja con un pico de impacto cercano y luego verifica que la señal se estabilice en torno a 1 g. El algoritmo de este nodo adopta esa estructura de tres fases porque es explicable, determinista y cabe en una tarea de 3 kB de stack. Su especificidad, sin embargo, no supera el 94 % ni en el mejor caso publicado, lo que en uso continuo significa falsas alarmas; por eso la confirmación interactiva de la plataforma no es un accesorio, sino la segunda etapa del clasificador. Chen </w:t>
      </w:r>
      <w:r>
        <w:rPr>
          <w:i/>
          <w:lang w:val="es-CL"/>
        </w:rPr>
        <w:t>et al.</w:t>
      </w:r>
      <w:r>
        <w:rPr>
          <w:lang w:val="es-CL"/>
        </w:rPr>
        <w:t xml:space="preserve"> [17] recuerdan además que, en los estudios que lo reportan, la exactitud de los sistemas vestibles para estimar riesgo de caída varía entre 0,57 y 0,90 según la ubicación del sensor y las características usadas: este nodo detecta eventos, no estima riesgo, y la posición del MPU6050 en el cuerpo debe fijarse y documentarse en las pruebas.</w:t>
      </w:r>
    </w:p>
    <w:p>
      <w:pPr>
        <w:pStyle w:val="Text"/>
      </w:pPr>
      <w:r>
        <w:rPr>
          <w:lang w:val="es-CL"/>
        </w:rPr>
        <w:t xml:space="preserve">En cuanto a la arquitectura, Ahmed </w:t>
      </w:r>
      <w:r>
        <w:rPr>
          <w:i/>
          <w:lang w:val="es-CL"/>
        </w:rPr>
        <w:t>et al.</w:t>
      </w:r>
      <w:r>
        <w:rPr>
          <w:lang w:val="es-CL"/>
        </w:rPr>
        <w:t xml:space="preserve"> [18] clasifican los sistemas de monitoreo remoto para adultos mayores y señalan como desafíos la latencia y los riesgos de seguridad de la nube, la sensibilidad de los sensores vestibles a fallas de hardware y el desempeño incierto fuera del laboratorio. El diseño responde a los tres: la detección se ejecuta en el borde, de modo que la caída se reconoce y la alarma local suena aunque se pierda la red; el firmware contabiliza errores de bus, lecturas inválidas y eventos descartados para evidenciar fallas de hardware; y la validación final se hará en un domicilio simulado. Ashraf </w:t>
      </w:r>
      <w:r>
        <w:rPr>
          <w:i/>
          <w:lang w:val="es-CL"/>
        </w:rPr>
        <w:t>et al.</w:t>
      </w:r>
      <w:r>
        <w:rPr>
          <w:lang w:val="es-CL"/>
        </w:rPr>
        <w:t xml:space="preserve"> [19] demostraron la factibilidad de un monitor de código abierto con ESP32 y sensor óptico que muestra frecuencia cardiaca, SpO₂ y temperatura en un tablero en tiempo real; este proyecto parte de esa base y agrega detección de caídas en el borde, planificación con FreeRTOS y autenticación de operarios. El estudio de Zahradka </w:t>
      </w:r>
      <w:r>
        <w:rPr>
          <w:i/>
          <w:lang w:val="es-CL"/>
        </w:rPr>
        <w:t>et al.</w:t>
      </w:r>
      <w:r>
        <w:rPr>
          <w:lang w:val="es-CL"/>
        </w:rPr>
        <w:t xml:space="preserve"> [20], con 76 pacientes en hospitalización domiciliaria, aporta la advertencia cuantitativa más útil: según la regla de alarma, la frecuencia de observación y el filtro aplicado, el total de alarmas simuladas varió entre 65 y 3 113, y los filtros de mediana más largos redujeron las alarmas por fluctuaciones normales. La carga de alarmas es, por lo tanto, un parámetro de diseño tan importante como la sensibilidad.</w:t>
      </w:r>
    </w:p>
    <w:p>
      <w:pPr>
        <w:pStyle w:val="Text"/>
      </w:pPr>
      <w:r>
        <w:rPr>
          <w:lang w:val="es-CL"/>
        </w:rPr>
        <w:t xml:space="preserve">Respecto de la medición fisiológica, la hoja de ruta de fotopletismografía vestible de 2023 [21] advierte que la señal es muy susceptible al ruido por artefactos de movimiento y dedica secciones completas a la calidad de la señal y a esos artefactos; por eso el firmware solo calcula el pulso cuando la señal infrarroja está en el rango de dedo presente y descarta latidos fuera de 45–200 lpm. Naranjo Rojas y Cruz Mosquera [9] concluyen que los oxímetros de bajo costo pueden ampliar el autocuidado en el hogar, pero que su principal deuda es la validación clínica y la exactitud; la SpO₂ de este nodo se reporta como un índice no calibrado hasta contrastarla con un oxímetro de referencia según ISO 80601-2-61 [10]. Para la temperatura, Eisenkraft </w:t>
      </w:r>
      <w:r>
        <w:rPr>
          <w:i/>
          <w:lang w:val="es-CL"/>
        </w:rPr>
        <w:t>et al.</w:t>
      </w:r>
      <w:r>
        <w:rPr>
          <w:lang w:val="es-CL"/>
        </w:rPr>
        <w:t xml:space="preserve"> [12] recuerdan que la temperatura de la piel es menor que la central y depende de la perfusión periférica y de la temperatura ambiente; su parche de doble sensor logró un sesgo de −0,04 °C frente a la termometría oral. Un DS18B20 de un solo punto no compensa el flujo de calor, por lo que su lectura se usará como tendencia y no para diagnosticar fiebre.</w:t>
      </w:r>
    </w:p>
    <w:p>
      <w:pPr>
        <w:pStyle w:val="Text"/>
      </w:pPr>
      <w:r>
        <w:rPr>
          <w:lang w:val="es-CL"/>
        </w:rPr>
        <w:t xml:space="preserve">Por último, la seguridad del enlace web se apoya en JWT [4], cuya limitación señalan Bucko </w:t>
      </w:r>
      <w:r>
        <w:rPr>
          <w:i/>
          <w:lang w:val="es-CL"/>
        </w:rPr>
        <w:t>et al.</w:t>
      </w:r>
      <w:r>
        <w:rPr>
          <w:lang w:val="es-CL"/>
        </w:rPr>
        <w:t xml:space="preserve"> [15]: un token válido no dice nada del comportamiento de quien lo usa, por lo que proponen puntuar la confianza con los intentos fallidos y la consistencia de la dirección IP y del navegador. Para este proyecto, la lección es complementar el JWT con una expiración corta y con la autenticación física del operario mediante RFID en el domicilio.</w:t>
      </w:r>
    </w:p>
    <w:p>
      <w:pPr>
        <w:pStyle w:val="Ttulo2"/>
        <w:numPr>
          <w:ilvl w:val="0"/>
          <w:numId w:val="0"/>
        </w:numPr>
      </w:pPr>
      <w:r>
        <w:rPr>
          <w:lang w:val="es-CL"/>
        </w:rPr>
        <w:t>D. Arquitectura del firmware y lógica de control</w:t>
      </w:r>
    </w:p>
    <w:p>
      <w:pPr>
        <w:pStyle w:val="Text"/>
      </w:pPr>
      <w:r>
        <w:rPr>
          <w:lang w:val="es-CL"/>
        </w:rPr>
        <w:t>El firmware se estructura en seis tareas de FreeRTOS fijadas a un núcleo con xTaskCreatePinnedToCore (Fig. 2). En el núcleo 1 corren Task_MPU (prioridad 4, 20 ms), Task_MAX (prioridad 3, sondeo cada 10 ms) y Task_Temp (prioridad 1, 1 s); en el núcleo 0 corren Task_Actua (prioridad 3), Task_RFID (prioridad 2, 150 ms) y Task_Telem (prioridad 1, 1 s). La asignación sigue dos criterios. Primero, en la configuración del SDK la tarea Wi-Fi está fijada al núcleo 0 (CONFIG_ESP32_WIFI_TASK_PINNED_TO_CORE_0) [14], así que dejar la adquisición en el núcleo 1 la aísla de la carga de comunicación que llegará en la etapa IoT. Segundo, la prioridad refleja cuánto retraso tolera cada sensor: el MPU6050 se lee directamente de sus registros y una muestra no leída a tiempo se pierde, mientras que el MAX30102 guarda hasta 32 muestras en su FIFO, es decir, 320 ms de margen a 100 Hz (Ec. 3).</w:t>
      </w:r>
    </w:p>
    <w:p>
      <w:pPr>
        <w:keepNext/>
        <w:spacing w:before="120"/>
        <w:jc w:val="center"/>
      </w:pPr>
      <w:r>
        <w:drawing>
          <wp:inline xmlns:a="http://schemas.openxmlformats.org/drawingml/2006/main" xmlns:pic="http://schemas.openxmlformats.org/drawingml/2006/picture">
            <wp:extent cx="3154680" cy="2478677"/>
            <wp:docPr id="2" name="Picture 2"/>
            <wp:cNvGraphicFramePr>
              <a:graphicFrameLocks noChangeAspect="1"/>
            </wp:cNvGraphicFramePr>
            <a:graphic>
              <a:graphicData uri="http://schemas.openxmlformats.org/drawingml/2006/picture">
                <pic:pic>
                  <pic:nvPicPr>
                    <pic:cNvPr id="0" name="rtos.png"/>
                    <pic:cNvPicPr/>
                  </pic:nvPicPr>
                  <pic:blipFill>
                    <a:blip r:embed="rId14"/>
                    <a:stretch>
                      <a:fillRect/>
                    </a:stretch>
                  </pic:blipFill>
                  <pic:spPr>
                    <a:xfrm>
                      <a:off x="0" y="0"/>
                      <a:ext cx="3154680" cy="2478677"/>
                    </a:xfrm>
                    <a:prstGeom prst="rect"/>
                  </pic:spPr>
                </pic:pic>
              </a:graphicData>
            </a:graphic>
          </wp:inline>
        </w:drawing>
      </w:r>
    </w:p>
    <w:p>
      <w:pPr>
        <w:pStyle w:val="FigureCaption"/>
        <w:spacing w:after="160" w:before="60"/>
      </w:pPr>
      <w:r>
        <w:rPr>
          <w:lang w:val="es-CL"/>
        </w:rPr>
        <w:t>Fig. 2. Arquitectura FreeRTOS: tareas por núcleo con su prioridad y periodo, y objetos de comunicación entre núcleos. Las flechas punteadas indican accesos a g_datos protegidos por mutexDatos.</w:t>
      </w:r>
    </w:p>
    <w:p>
      <w:pPr>
        <w:pStyle w:val="Text"/>
      </w:pPr>
      <w:r>
        <w:rPr>
          <w:lang w:val="es-CL"/>
        </w:rPr>
        <w:t>Todas las esperas usan vTaskDelayUntil, que bloquea solo a la tarea que la llama y fija un periodo absoluto sin deriva acumulada; el firmware no contiene llamadas a delay(). La comunicación entre núcleos usa tres objetos: g_datos, una estructura con los últimos valores fisiológicos protegida por mutexDatos; colaEventosCaida, por donde viajan los eventos de caída; y colaEventosAcceso, que lleva a Task_Actua los eventos RFID y la alarma de caída.</w:t>
      </w:r>
    </w:p>
    <w:p>
      <w:pPr>
        <w:pStyle w:val="Text"/>
      </w:pPr>
      <w:r>
        <w:rPr>
          <w:lang w:val="es-CL"/>
        </w:rPr>
        <w:t>Este diseño corrige dos condiciones de carrera de la versión del avance. En ella, la bandera de impacto era una variable volatile que Task_Telem leía y luego ponía en falso; si el MPU6050 marcaba un nuevo impacto entre ambas operaciones, el evento se perdía. Además, el pico de aceleración se escribía desde los dos núcleos sin exclusión mutua. El calificador volatile solo impide que el compilador guarde la variable en un registro; no vuelve atómica una secuencia leer-modificar-escribir. Con la cola, cada evento queda almacenado hasta que se consume y, si la cola llegara a llenarse, el descarte se contabiliza. Ninguna tarea espera el mutex más de 2 ms: si no lo obtiene, publica en el ciclo siguiente.</w:t>
      </w:r>
    </w:p>
    <w:p>
      <w:pPr>
        <w:pStyle w:val="Text"/>
      </w:pPr>
      <w:r>
        <w:rPr>
          <w:lang w:val="es-CL"/>
        </w:rPr>
        <w:t>El algoritmo de caída (Fig. 3 y Algoritmo 1) es una máquina de tres estados. En REPOSO se buscan al menos tres muestras consecutivas (60 ms) bajo 0,5 g, la firma de la caída libre; si aparecen, el estado pasa a ESPERA_IMPACTO, donde se espera hasta 500 ms un pico sobre 2,5 g. Un impacto sin caída libre previa también se evalúa, porque los colapsos lentos no siempre muestran una fase de ingravidez clara, pero el evento lo informa con huboCaidaLibre falso para que el servidor lo pondere. En VERIFICA_INMOVILIDAD se ignoran 500 ms de rebote, registrando el pico real, y luego se cuentan durante 2 s las muestras con |a − 1 g| &lt; 0,25 g. Si al menos el 80 % están quietas, el evento es CAIDA_CONFIRMADA y además dispara la alarma local; si no, se informa como IMPACTO con movimiento posterior. La alarma local suena, por lo tanto, a lo más 0,5 + 2 + 0,02 + 0,01 ≈ 2,53 s después del impacto. Las alarmas se informan siempre, aunque no haya una sesión de operario activa: la sesión controla la telemetría rutinaria, no la seguridad del paciente.</w:t>
      </w:r>
    </w:p>
    <w:p>
      <w:pPr>
        <w:spacing w:before="0" w:after="0"/>
        <w:sectPr w:rsidR="00DA5A9A" w:rsidRPr="00731616" w:rsidSect="00002FAF">
          <w:footnotePr>
            <w:numRestart w:val="eachSect"/>
          </w:footnotePr>
          <w:type w:val="continuous"/>
          <w:pgSz w:w="12240" w:h="15840"/>
          <w:pgMar w:top="1008" w:right="936" w:bottom="1008" w:left="936" w:header="432" w:footer="432" w:gutter="0"/>
          <w:cols w:num="2" w:space="720" w:equalWidth="0">
            <w:col w:w="5040" w:space="288"/>
            <w:col w:w="5040" w:space="0"/>
          </w:cols>
        </w:sectPr>
      </w:pPr>
      <w:r>
        <w:rPr>
          <w:sz w:val="2"/>
        </w:rPr>
      </w:r>
    </w:p>
    <w:p>
      <w:pPr>
        <w:keepNext/>
        <w:spacing w:before="120"/>
        <w:jc w:val="center"/>
      </w:pPr>
      <w:r>
        <w:drawing>
          <wp:inline xmlns:a="http://schemas.openxmlformats.org/drawingml/2006/main" xmlns:pic="http://schemas.openxmlformats.org/drawingml/2006/picture">
            <wp:extent cx="4663440" cy="4413760"/>
            <wp:docPr id="3" name="Picture 3"/>
            <wp:cNvGraphicFramePr>
              <a:graphicFrameLocks noChangeAspect="1"/>
            </wp:cNvGraphicFramePr>
            <a:graphic>
              <a:graphicData uri="http://schemas.openxmlformats.org/drawingml/2006/picture">
                <pic:pic>
                  <pic:nvPicPr>
                    <pic:cNvPr id="0" name="caida.png"/>
                    <pic:cNvPicPr/>
                  </pic:nvPicPr>
                  <pic:blipFill>
                    <a:blip r:embed="rId15"/>
                    <a:stretch>
                      <a:fillRect/>
                    </a:stretch>
                  </pic:blipFill>
                  <pic:spPr>
                    <a:xfrm>
                      <a:off x="0" y="0"/>
                      <a:ext cx="4663440" cy="4413760"/>
                    </a:xfrm>
                    <a:prstGeom prst="rect"/>
                  </pic:spPr>
                </pic:pic>
              </a:graphicData>
            </a:graphic>
          </wp:inline>
        </w:drawing>
      </w:r>
    </w:p>
    <w:p>
      <w:pPr>
        <w:pStyle w:val="FigureCaption"/>
        <w:spacing w:after="160" w:before="60"/>
        <w:jc w:val="center"/>
      </w:pPr>
      <w:r>
        <w:rPr>
          <w:lang w:val="es-CL"/>
        </w:rPr>
        <w:t>Fig. 3. Diagrama de flujo de Task_MPU: algoritmo cinemático de caída en tres fases (caída libre, impacto e inmovilidad), ejecutado cada 20 ms.</w:t>
      </w:r>
    </w:p>
    <w:p>
      <w:pPr>
        <w:keepNext/>
        <w:spacing w:before="120"/>
        <w:jc w:val="center"/>
      </w:pPr>
      <w:r>
        <w:drawing>
          <wp:inline xmlns:a="http://schemas.openxmlformats.org/drawingml/2006/main" xmlns:pic="http://schemas.openxmlformats.org/drawingml/2006/picture">
            <wp:extent cx="5669280" cy="3278279"/>
            <wp:docPr id="4" name="Picture 4"/>
            <wp:cNvGraphicFramePr>
              <a:graphicFrameLocks noChangeAspect="1"/>
            </wp:cNvGraphicFramePr>
            <a:graphic>
              <a:graphicData uri="http://schemas.openxmlformats.org/drawingml/2006/picture">
                <pic:pic>
                  <pic:nvPicPr>
                    <pic:cNvPr id="0" name="rfid.png"/>
                    <pic:cNvPicPr/>
                  </pic:nvPicPr>
                  <pic:blipFill>
                    <a:blip r:embed="rId16"/>
                    <a:stretch>
                      <a:fillRect/>
                    </a:stretch>
                  </pic:blipFill>
                  <pic:spPr>
                    <a:xfrm>
                      <a:off x="0" y="0"/>
                      <a:ext cx="5669280" cy="3278279"/>
                    </a:xfrm>
                    <a:prstGeom prst="rect"/>
                  </pic:spPr>
                </pic:pic>
              </a:graphicData>
            </a:graphic>
          </wp:inline>
        </w:drawing>
      </w:r>
    </w:p>
    <w:p>
      <w:pPr>
        <w:pStyle w:val="FigureCaption"/>
        <w:spacing w:after="160" w:before="60"/>
        <w:jc w:val="center"/>
      </w:pPr>
      <w:r>
        <w:rPr>
          <w:lang w:val="es-CL"/>
        </w:rPr>
        <w:t>Fig. 4. Diagrama de flujo del control de acceso: Task_RFID (izquierda) produce eventos y Task_Actua (derecha) los consume y reproduce los patrones de LED y buzzer sin bloquear.</w:t>
      </w:r>
    </w:p>
    <w:p>
      <w:pPr>
        <w:spacing w:before="0" w:after="0"/>
        <w:sectPr w:rsidR="00DA5A9A" w:rsidRPr="00731616" w:rsidSect="00002FAF">
          <w:footnotePr>
            <w:numRestart w:val="eachSect"/>
          </w:footnotePr>
          <w:type w:val="continuous"/>
          <w:pgSz w:w="12240" w:h="15840"/>
          <w:pgMar w:top="1008" w:right="936" w:bottom="1008" w:left="936" w:header="432" w:footer="432" w:gutter="0"/>
          <w:cols w:space="720"/>
        </w:sectPr>
      </w:pPr>
      <w:r>
        <w:rPr>
          <w:sz w:val="2"/>
        </w:rPr>
      </w:r>
    </w:p>
    <w:tbl>
      <w:tblPr>
        <w:tblW w:w="5000" w:type="dxa"/>
        <w:jc w:val="center"/>
        <w:tblBorders>
          <w:top w:val="single" w:sz="8" w:space="0" w:color="000000"/>
          <w:left w:val="nil"/>
          <w:bottom w:val="single" w:sz="8" w:space="0" w:color="000000"/>
          <w:right w:val="nil"/>
          <w:insideH w:val="nil" w:sz="2" w:space="0" w:color="999999"/>
          <w:insideV w:val="nil"/>
        </w:tblBorders>
        <w:tblLayout w:type="fixed"/>
        <w:tblLook w:firstColumn="1" w:firstRow="1" w:lastColumn="0" w:lastRow="0" w:noHBand="0" w:noVBand="1" w:val="04A0"/>
      </w:tblPr>
      <w:tblGrid>
        <w:gridCol w:w="5000"/>
      </w:tblGrid>
      <w:tr>
        <w:trPr>
          <w:cantSplit/>
        </w:trPr>
        <w:tc>
          <w:tcPr>
            <w:tcW w:type="dxa" w:w="5000"/>
          </w:tcPr>
          <w:p>
            <w:pPr>
              <w:keepNext/>
              <w:pBdr>
                <w:bottom w:val="single" w:sz="4" w:space="1" w:color="000000"/>
              </w:pBdr>
              <w:spacing w:before="40" w:after="40"/>
            </w:pPr>
            <w:r>
              <w:rPr>
                <w:b/>
                <w:sz w:val="16"/>
                <w:lang w:val="es-CL"/>
              </w:rPr>
              <w:t>Algoritmo 1. Detección cinemática de caída (Task_MPU)</w:t>
            </w:r>
          </w:p>
          <w:p>
            <w:pPr>
              <w:keepNext/>
              <w:spacing w:before="0" w:after="0" w:line="240" w:lineRule="auto"/>
            </w:pPr>
            <w:r>
              <w:rPr>
                <w:rFonts w:ascii="Courier New" w:hAnsi="Courier New" w:cs="Courier New"/>
                <w:sz w:val="14"/>
                <w:lang w:val="es-CL"/>
              </w:rPr>
              <w:t>Entrada: ax, ay, az (±8 g) cada 20 ms</w:t>
            </w:r>
          </w:p>
          <w:p>
            <w:pPr>
              <w:keepNext/>
              <w:spacing w:before="0" w:after="0" w:line="240" w:lineRule="auto"/>
            </w:pPr>
            <w:r>
              <w:rPr>
                <w:rFonts w:ascii="Courier New" w:hAnsi="Courier New" w:cs="Courier New"/>
                <w:sz w:val="14"/>
                <w:lang w:val="es-CL"/>
              </w:rPr>
              <w:t>Salida : EventoCaida en colaEventosCaida</w:t>
            </w:r>
          </w:p>
          <w:p>
            <w:pPr>
              <w:keepNext/>
              <w:spacing w:before="0" w:after="0" w:line="240" w:lineRule="auto"/>
            </w:pPr>
            <w:r>
              <w:rPr>
                <w:rFonts w:ascii="Courier New" w:hAnsi="Courier New" w:cs="Courier New"/>
                <w:sz w:val="14"/>
                <w:lang w:val="es-CL"/>
              </w:rPr>
              <w:t xml:space="preserve"> 1: estado ← REPOSO</w:t>
            </w:r>
          </w:p>
          <w:p>
            <w:pPr>
              <w:keepNext/>
              <w:spacing w:before="0" w:after="0" w:line="240" w:lineRule="auto"/>
            </w:pPr>
            <w:r>
              <w:rPr>
                <w:rFonts w:ascii="Courier New" w:hAnsi="Courier New" w:cs="Courier New"/>
                <w:sz w:val="14"/>
                <w:lang w:val="es-CL"/>
              </w:rPr>
              <w:t xml:space="preserve"> 2: repetir cada 20 ms (vTaskDelayUntil)</w:t>
            </w:r>
          </w:p>
          <w:p>
            <w:pPr>
              <w:keepNext/>
              <w:spacing w:before="0" w:after="0" w:line="240" w:lineRule="auto"/>
            </w:pPr>
            <w:r>
              <w:rPr>
                <w:rFonts w:ascii="Courier New" w:hAnsi="Courier New" w:cs="Courier New"/>
                <w:sz w:val="14"/>
                <w:lang w:val="es-CL"/>
              </w:rPr>
              <w:t xml:space="preserve"> 3:   si la lectura I²C falla entonces</w:t>
            </w:r>
          </w:p>
          <w:p>
            <w:pPr>
              <w:keepNext/>
              <w:spacing w:before="0" w:after="0" w:line="240" w:lineRule="auto"/>
            </w:pPr>
            <w:r>
              <w:rPr>
                <w:rFonts w:ascii="Courier New" w:hAnsi="Courier New" w:cs="Courier New"/>
                <w:sz w:val="14"/>
                <w:lang w:val="es-CL"/>
              </w:rPr>
              <w:t xml:space="preserve"> 4:     erroresMPU ← erroresMPU + 1</w:t>
            </w:r>
          </w:p>
          <w:p>
            <w:pPr>
              <w:keepNext/>
              <w:spacing w:before="0" w:after="0" w:line="240" w:lineRule="auto"/>
            </w:pPr>
            <w:r>
              <w:rPr>
                <w:rFonts w:ascii="Courier New" w:hAnsi="Courier New" w:cs="Courier New"/>
                <w:sz w:val="14"/>
                <w:lang w:val="es-CL"/>
              </w:rPr>
              <w:t xml:space="preserve"> 5:     reconfigurar MPU6050; continuar</w:t>
            </w:r>
          </w:p>
          <w:p>
            <w:pPr>
              <w:keepNext/>
              <w:spacing w:before="0" w:after="0" w:line="240" w:lineRule="auto"/>
            </w:pPr>
            <w:r>
              <w:rPr>
                <w:rFonts w:ascii="Courier New" w:hAnsi="Courier New" w:cs="Courier New"/>
                <w:sz w:val="14"/>
                <w:lang w:val="es-CL"/>
              </w:rPr>
              <w:t xml:space="preserve"> 6:   a ← √(ax² + ay² + az²) / 4096</w:t>
            </w:r>
          </w:p>
          <w:p>
            <w:pPr>
              <w:keepNext/>
              <w:spacing w:before="0" w:after="0" w:line="240" w:lineRule="auto"/>
            </w:pPr>
            <w:r>
              <w:rPr>
                <w:rFonts w:ascii="Courier New" w:hAnsi="Courier New" w:cs="Courier New"/>
                <w:sz w:val="14"/>
                <w:lang w:val="es-CL"/>
              </w:rPr>
              <w:t xml:space="preserve"> 7:   según estado:</w:t>
            </w:r>
          </w:p>
          <w:p>
            <w:pPr>
              <w:keepNext/>
              <w:spacing w:before="0" w:after="0" w:line="240" w:lineRule="auto"/>
            </w:pPr>
            <w:r>
              <w:rPr>
                <w:rFonts w:ascii="Courier New" w:hAnsi="Courier New" w:cs="Courier New"/>
                <w:sz w:val="14"/>
                <w:lang w:val="es-CL"/>
              </w:rPr>
              <w:t xml:space="preserve"> 8:   REPOSO:</w:t>
            </w:r>
          </w:p>
          <w:p>
            <w:pPr>
              <w:keepNext/>
              <w:spacing w:before="0" w:after="0" w:line="240" w:lineRule="auto"/>
            </w:pPr>
            <w:r>
              <w:rPr>
                <w:rFonts w:ascii="Courier New" w:hAnsi="Courier New" w:cs="Courier New"/>
                <w:sz w:val="14"/>
                <w:lang w:val="es-CL"/>
              </w:rPr>
              <w:t xml:space="preserve"> 9:     si a &lt; 0,5 g en 3 muestras seguidas:</w:t>
            </w:r>
          </w:p>
          <w:p>
            <w:pPr>
              <w:keepNext/>
              <w:spacing w:before="0" w:after="0" w:line="240" w:lineRule="auto"/>
            </w:pPr>
            <w:r>
              <w:rPr>
                <w:rFonts w:ascii="Courier New" w:hAnsi="Courier New" w:cs="Courier New"/>
                <w:sz w:val="14"/>
                <w:lang w:val="es-CL"/>
              </w:rPr>
              <w:t>10:       estado ← ESPERA_IMPACTO; n ← 0</w:t>
            </w:r>
          </w:p>
          <w:p>
            <w:pPr>
              <w:keepNext/>
              <w:spacing w:before="0" w:after="0" w:line="240" w:lineRule="auto"/>
            </w:pPr>
            <w:r>
              <w:rPr>
                <w:rFonts w:ascii="Courier New" w:hAnsi="Courier New" w:cs="Courier New"/>
                <w:sz w:val="14"/>
                <w:lang w:val="es-CL"/>
              </w:rPr>
              <w:t>11:     si no, si a &gt; 2,5 g:</w:t>
            </w:r>
          </w:p>
          <w:p>
            <w:pPr>
              <w:keepNext/>
              <w:spacing w:before="0" w:after="0" w:line="240" w:lineRule="auto"/>
            </w:pPr>
            <w:r>
              <w:rPr>
                <w:rFonts w:ascii="Courier New" w:hAnsi="Courier New" w:cs="Courier New"/>
                <w:sz w:val="14"/>
                <w:lang w:val="es-CL"/>
              </w:rPr>
              <w:t>12:       libre ← falso; pico ← a; n, q ← 0</w:t>
            </w:r>
          </w:p>
          <w:p>
            <w:pPr>
              <w:keepNext/>
              <w:spacing w:before="0" w:after="0" w:line="240" w:lineRule="auto"/>
            </w:pPr>
            <w:r>
              <w:rPr>
                <w:rFonts w:ascii="Courier New" w:hAnsi="Courier New" w:cs="Courier New"/>
                <w:sz w:val="14"/>
                <w:lang w:val="es-CL"/>
              </w:rPr>
              <w:t>13:       estado ← VERIFICA</w:t>
            </w:r>
          </w:p>
          <w:p>
            <w:pPr>
              <w:keepNext/>
              <w:spacing w:before="0" w:after="0" w:line="240" w:lineRule="auto"/>
            </w:pPr>
            <w:r>
              <w:rPr>
                <w:rFonts w:ascii="Courier New" w:hAnsi="Courier New" w:cs="Courier New"/>
                <w:sz w:val="14"/>
                <w:lang w:val="es-CL"/>
              </w:rPr>
              <w:t>14:   ESPERA_IMPACTO:</w:t>
            </w:r>
          </w:p>
          <w:p>
            <w:pPr>
              <w:keepNext/>
              <w:spacing w:before="0" w:after="0" w:line="240" w:lineRule="auto"/>
            </w:pPr>
            <w:r>
              <w:rPr>
                <w:rFonts w:ascii="Courier New" w:hAnsi="Courier New" w:cs="Courier New"/>
                <w:sz w:val="14"/>
                <w:lang w:val="es-CL"/>
              </w:rPr>
              <w:t>15:     si a &gt; 2,5 g:</w:t>
            </w:r>
          </w:p>
          <w:p>
            <w:pPr>
              <w:keepNext/>
              <w:spacing w:before="0" w:after="0" w:line="240" w:lineRule="auto"/>
            </w:pPr>
            <w:r>
              <w:rPr>
                <w:rFonts w:ascii="Courier New" w:hAnsi="Courier New" w:cs="Courier New"/>
                <w:sz w:val="14"/>
                <w:lang w:val="es-CL"/>
              </w:rPr>
              <w:t>16:       libre ← verdadero; pico ← a; n, q ← 0</w:t>
            </w:r>
          </w:p>
          <w:p>
            <w:pPr>
              <w:keepNext/>
              <w:spacing w:before="0" w:after="0" w:line="240" w:lineRule="auto"/>
            </w:pPr>
            <w:r>
              <w:rPr>
                <w:rFonts w:ascii="Courier New" w:hAnsi="Courier New" w:cs="Courier New"/>
                <w:sz w:val="14"/>
                <w:lang w:val="es-CL"/>
              </w:rPr>
              <w:t>17:       estado ← VERIFICA</w:t>
            </w:r>
          </w:p>
          <w:p>
            <w:pPr>
              <w:keepNext/>
              <w:spacing w:before="0" w:after="0" w:line="240" w:lineRule="auto"/>
            </w:pPr>
            <w:r>
              <w:rPr>
                <w:rFonts w:ascii="Courier New" w:hAnsi="Courier New" w:cs="Courier New"/>
                <w:sz w:val="14"/>
                <w:lang w:val="es-CL"/>
              </w:rPr>
              <w:t>18:     si no, si n++ &gt; 25: estado ← REPOSO</w:t>
            </w:r>
          </w:p>
          <w:p>
            <w:pPr>
              <w:keepNext/>
              <w:spacing w:before="0" w:after="0" w:line="240" w:lineRule="auto"/>
            </w:pPr>
            <w:r>
              <w:rPr>
                <w:rFonts w:ascii="Courier New" w:hAnsi="Courier New" w:cs="Courier New"/>
                <w:sz w:val="14"/>
                <w:lang w:val="es-CL"/>
              </w:rPr>
              <w:t>19:   VERIFICA:</w:t>
            </w:r>
          </w:p>
          <w:p>
            <w:pPr>
              <w:keepNext/>
              <w:spacing w:before="0" w:after="0" w:line="240" w:lineRule="auto"/>
            </w:pPr>
            <w:r>
              <w:rPr>
                <w:rFonts w:ascii="Courier New" w:hAnsi="Courier New" w:cs="Courier New"/>
                <w:sz w:val="14"/>
                <w:lang w:val="es-CL"/>
              </w:rPr>
              <w:t>20:     n ← n + 1</w:t>
            </w:r>
          </w:p>
          <w:p>
            <w:pPr>
              <w:keepNext/>
              <w:spacing w:before="0" w:after="0" w:line="240" w:lineRule="auto"/>
            </w:pPr>
            <w:r>
              <w:rPr>
                <w:rFonts w:ascii="Courier New" w:hAnsi="Courier New" w:cs="Courier New"/>
                <w:sz w:val="14"/>
                <w:lang w:val="es-CL"/>
              </w:rPr>
              <w:t>21:     si n ≤ 25: pico ← máx(pico, a)</w:t>
            </w:r>
          </w:p>
          <w:p>
            <w:pPr>
              <w:keepNext/>
              <w:spacing w:before="0" w:after="0" w:line="240" w:lineRule="auto"/>
            </w:pPr>
            <w:r>
              <w:rPr>
                <w:rFonts w:ascii="Courier New" w:hAnsi="Courier New" w:cs="Courier New"/>
                <w:sz w:val="14"/>
                <w:lang w:val="es-CL"/>
              </w:rPr>
              <w:t>22:     si no, si |a − 1| &lt; 0,25 g: q ← q + 1</w:t>
            </w:r>
          </w:p>
          <w:p>
            <w:pPr>
              <w:keepNext/>
              <w:spacing w:before="0" w:after="0" w:line="240" w:lineRule="auto"/>
            </w:pPr>
            <w:r>
              <w:rPr>
                <w:rFonts w:ascii="Courier New" w:hAnsi="Courier New" w:cs="Courier New"/>
                <w:sz w:val="14"/>
                <w:lang w:val="es-CL"/>
              </w:rPr>
              <w:t>23:     si n = 125:</w:t>
            </w:r>
          </w:p>
          <w:p>
            <w:pPr>
              <w:keepNext/>
              <w:spacing w:before="0" w:after="0" w:line="240" w:lineRule="auto"/>
            </w:pPr>
            <w:r>
              <w:rPr>
                <w:rFonts w:ascii="Courier New" w:hAnsi="Courier New" w:cs="Courier New"/>
                <w:sz w:val="14"/>
                <w:lang w:val="es-CL"/>
              </w:rPr>
              <w:t>24:       tipo ← CONFIRMADA si q ≥ 80,</w:t>
            </w:r>
          </w:p>
          <w:p>
            <w:pPr>
              <w:keepNext/>
              <w:spacing w:before="0" w:after="0" w:line="240" w:lineRule="auto"/>
            </w:pPr>
            <w:r>
              <w:rPr>
                <w:rFonts w:ascii="Courier New" w:hAnsi="Courier New" w:cs="Courier New"/>
                <w:sz w:val="14"/>
                <w:lang w:val="es-CL"/>
              </w:rPr>
              <w:t>25:              si no IMPACTO</w:t>
            </w:r>
          </w:p>
          <w:p>
            <w:pPr>
              <w:keepNext/>
              <w:spacing w:before="0" w:after="0" w:line="240" w:lineRule="auto"/>
            </w:pPr>
            <w:r>
              <w:rPr>
                <w:rFonts w:ascii="Courier New" w:hAnsi="Courier New" w:cs="Courier New"/>
                <w:sz w:val="14"/>
                <w:lang w:val="es-CL"/>
              </w:rPr>
              <w:t>26:       enviar (tipo, libre, pico, t) a la cola</w:t>
            </w:r>
          </w:p>
          <w:p>
            <w:pPr>
              <w:keepNext/>
              <w:spacing w:before="0" w:after="0" w:line="240" w:lineRule="auto"/>
            </w:pPr>
            <w:r>
              <w:rPr>
                <w:rFonts w:ascii="Courier New" w:hAnsi="Courier New" w:cs="Courier New"/>
                <w:sz w:val="14"/>
                <w:lang w:val="es-CL"/>
              </w:rPr>
              <w:t>27:       si tipo = CONFIRMADA:</w:t>
            </w:r>
          </w:p>
          <w:p>
            <w:pPr>
              <w:keepNext/>
              <w:spacing w:before="0" w:after="0" w:line="240" w:lineRule="auto"/>
            </w:pPr>
            <w:r>
              <w:rPr>
                <w:rFonts w:ascii="Courier New" w:hAnsi="Courier New" w:cs="Courier New"/>
                <w:sz w:val="14"/>
                <w:lang w:val="es-CL"/>
              </w:rPr>
              <w:t>28:         enviar ALERTA_CAIDA a actuadores</w:t>
            </w:r>
          </w:p>
          <w:p>
            <w:pPr>
              <w:keepNext/>
              <w:spacing w:before="0" w:after="0" w:line="240" w:lineRule="auto"/>
            </w:pPr>
            <w:r>
              <w:rPr>
                <w:rFonts w:ascii="Courier New" w:hAnsi="Courier New" w:cs="Courier New"/>
                <w:sz w:val="14"/>
                <w:lang w:val="es-CL"/>
              </w:rPr>
              <w:t>29:       estado ← REPOSO</w:t>
            </w:r>
          </w:p>
          <w:p>
            <w:pPr>
              <w:keepNext/>
              <w:spacing w:before="0" w:after="0" w:line="240" w:lineRule="auto"/>
            </w:pPr>
            <w:r>
              <w:rPr>
                <w:rFonts w:ascii="Courier New" w:hAnsi="Courier New" w:cs="Courier New"/>
                <w:sz w:val="14"/>
                <w:lang w:val="es-CL"/>
              </w:rPr>
              <w:t>30:   publicar a y pico en g_datos (mutex)</w:t>
            </w:r>
          </w:p>
        </w:tc>
      </w:tr>
    </w:tbl>
    <w:p>
      <w:pPr>
        <w:spacing w:after="80"/>
      </w:pPr>
    </w:p>
    <w:p>
      <w:pPr>
        <w:pStyle w:val="Text"/>
      </w:pPr>
      <w:r>
        <w:rPr>
          <w:lang w:val="es-CL"/>
        </w:rPr>
        <w:t>El control de acceso (Fig. 4 y Algoritmo 2) separa la lectura de la respuesta. Task_RFID sondea el lector cada 150 ms, compara el UID, incluido su largo de 4 bytes, contra una lista blanca y deposita ACCESO_VALIDO o ACCESO_INVALIDO en la cola. Task_Actua espera eventos con un tiempo máximo de 10 ms y reproduce los patrones de LED y buzzer como una secuencia de pasos temporizados, sin vTaskDelay dentro del patrón; un evento nuevo reemplaza de inmediato al patrón en curso, de modo que la respuesta nunca queda retenida por un pitido anterior. El peor caso entre acercar la tarjeta y encender la salida es, entonces, de unos 150 + 10 ms. Una credencial válida alterna la sesión (LED verde fijo y uno o dos pitidos); una inválida enciende el LED rojo con tres pitidos, pero ya no cierra la sesión abierta, como ocurría en la versión del avance, donde cualquier tarjeta ajena podía detener el monitoreo del paciente.</w:t>
      </w:r>
    </w:p>
    <w:tbl>
      <w:tblPr>
        <w:tblW w:w="5000" w:type="dxa"/>
        <w:jc w:val="center"/>
        <w:tblBorders>
          <w:top w:val="single" w:sz="8" w:space="0" w:color="000000"/>
          <w:left w:val="nil"/>
          <w:bottom w:val="single" w:sz="8" w:space="0" w:color="000000"/>
          <w:right w:val="nil"/>
          <w:insideH w:val="nil" w:sz="2" w:space="0" w:color="999999"/>
          <w:insideV w:val="nil"/>
        </w:tblBorders>
        <w:tblLayout w:type="fixed"/>
        <w:tblLook w:firstColumn="1" w:firstRow="1" w:lastColumn="0" w:lastRow="0" w:noHBand="0" w:noVBand="1" w:val="04A0"/>
      </w:tblPr>
      <w:tblGrid>
        <w:gridCol w:w="5000"/>
      </w:tblGrid>
      <w:tr>
        <w:trPr>
          <w:cantSplit/>
        </w:trPr>
        <w:tc>
          <w:tcPr>
            <w:tcW w:type="dxa" w:w="5000"/>
          </w:tcPr>
          <w:p>
            <w:pPr>
              <w:keepNext/>
              <w:pBdr>
                <w:bottom w:val="single" w:sz="4" w:space="1" w:color="000000"/>
              </w:pBdr>
              <w:spacing w:before="40" w:after="40"/>
            </w:pPr>
            <w:r>
              <w:rPr>
                <w:b/>
                <w:sz w:val="16"/>
                <w:lang w:val="es-CL"/>
              </w:rPr>
              <w:t>Algoritmo 2. Control de acceso y actuadores</w:t>
            </w:r>
          </w:p>
          <w:p>
            <w:pPr>
              <w:keepNext/>
              <w:spacing w:before="0" w:after="0" w:line="240" w:lineRule="auto"/>
            </w:pPr>
            <w:r>
              <w:rPr>
                <w:rFonts w:ascii="Courier New" w:hAnsi="Courier New" w:cs="Courier New"/>
                <w:sz w:val="14"/>
                <w:lang w:val="es-CL"/>
              </w:rPr>
              <w:t>Task_RFID (cada 150 ms):</w:t>
            </w:r>
          </w:p>
          <w:p>
            <w:pPr>
              <w:keepNext/>
              <w:spacing w:before="0" w:after="0" w:line="240" w:lineRule="auto"/>
            </w:pPr>
            <w:r>
              <w:rPr>
                <w:rFonts w:ascii="Courier New" w:hAnsi="Courier New" w:cs="Courier New"/>
                <w:sz w:val="14"/>
                <w:lang w:val="es-CL"/>
              </w:rPr>
              <w:t xml:space="preserve"> 1: si hay tarjeta nueva y se leyó su UID:</w:t>
            </w:r>
          </w:p>
          <w:p>
            <w:pPr>
              <w:keepNext/>
              <w:spacing w:before="0" w:after="0" w:line="240" w:lineRule="auto"/>
            </w:pPr>
            <w:r>
              <w:rPr>
                <w:rFonts w:ascii="Courier New" w:hAnsi="Courier New" w:cs="Courier New"/>
                <w:sz w:val="14"/>
                <w:lang w:val="es-CL"/>
              </w:rPr>
              <w:t xml:space="preserve"> 2:   si |UID| = 4 y UID ∈ listaBlanca:</w:t>
            </w:r>
          </w:p>
          <w:p>
            <w:pPr>
              <w:keepNext/>
              <w:spacing w:before="0" w:after="0" w:line="240" w:lineRule="auto"/>
            </w:pPr>
            <w:r>
              <w:rPr>
                <w:rFonts w:ascii="Courier New" w:hAnsi="Courier New" w:cs="Courier New"/>
                <w:sz w:val="14"/>
                <w:lang w:val="es-CL"/>
              </w:rPr>
              <w:t xml:space="preserve"> 3:     enviar ACCESO_VALIDO a colaEventosAcceso</w:t>
            </w:r>
          </w:p>
          <w:p>
            <w:pPr>
              <w:keepNext/>
              <w:spacing w:before="0" w:after="0" w:line="240" w:lineRule="auto"/>
            </w:pPr>
            <w:r>
              <w:rPr>
                <w:rFonts w:ascii="Courier New" w:hAnsi="Courier New" w:cs="Courier New"/>
                <w:sz w:val="14"/>
                <w:lang w:val="es-CL"/>
              </w:rPr>
              <w:t xml:space="preserve"> 4:   si no: enviar ACCESO_INVALIDO</w:t>
            </w:r>
          </w:p>
          <w:p>
            <w:pPr>
              <w:keepNext/>
              <w:spacing w:before="0" w:after="0" w:line="240" w:lineRule="auto"/>
            </w:pPr>
            <w:r>
              <w:rPr>
                <w:rFonts w:ascii="Courier New" w:hAnsi="Courier New" w:cs="Courier New"/>
                <w:sz w:val="14"/>
                <w:lang w:val="es-CL"/>
              </w:rPr>
              <w:t xml:space="preserve"> 5:   detener tarjeta (HaltA, StopCrypto1)</w:t>
            </w:r>
          </w:p>
          <w:p>
            <w:pPr>
              <w:keepNext/>
              <w:spacing w:before="0" w:after="0" w:line="240" w:lineRule="auto"/>
            </w:pPr>
            <w:r>
              <w:rPr>
                <w:rFonts w:ascii="Courier New" w:hAnsi="Courier New" w:cs="Courier New"/>
                <w:sz w:val="14"/>
                <w:lang w:val="es-CL"/>
              </w:rPr>
              <w:t>Task_Actua:</w:t>
            </w:r>
          </w:p>
          <w:p>
            <w:pPr>
              <w:keepNext/>
              <w:spacing w:before="0" w:after="0" w:line="240" w:lineRule="auto"/>
            </w:pPr>
            <w:r>
              <w:rPr>
                <w:rFonts w:ascii="Courier New" w:hAnsi="Courier New" w:cs="Courier New"/>
                <w:sz w:val="14"/>
                <w:lang w:val="es-CL"/>
              </w:rPr>
              <w:t xml:space="preserve"> 6: repetir</w:t>
            </w:r>
          </w:p>
          <w:p>
            <w:pPr>
              <w:keepNext/>
              <w:spacing w:before="0" w:after="0" w:line="240" w:lineRule="auto"/>
            </w:pPr>
            <w:r>
              <w:rPr>
                <w:rFonts w:ascii="Courier New" w:hAnsi="Courier New" w:cs="Courier New"/>
                <w:sz w:val="14"/>
                <w:lang w:val="es-CL"/>
              </w:rPr>
              <w:t xml:space="preserve"> 7:   si llega un evento e en ≤ 10 ms:</w:t>
            </w:r>
          </w:p>
          <w:p>
            <w:pPr>
              <w:keepNext/>
              <w:spacing w:before="0" w:after="0" w:line="240" w:lineRule="auto"/>
            </w:pPr>
            <w:r>
              <w:rPr>
                <w:rFonts w:ascii="Courier New" w:hAnsi="Courier New" w:cs="Courier New"/>
                <w:sz w:val="14"/>
                <w:lang w:val="es-CL"/>
              </w:rPr>
              <w:t xml:space="preserve"> 8:     según e:</w:t>
            </w:r>
          </w:p>
          <w:p>
            <w:pPr>
              <w:keepNext/>
              <w:spacing w:before="0" w:after="0" w:line="240" w:lineRule="auto"/>
            </w:pPr>
            <w:r>
              <w:rPr>
                <w:rFonts w:ascii="Courier New" w:hAnsi="Courier New" w:cs="Courier New"/>
                <w:sz w:val="14"/>
                <w:lang w:val="es-CL"/>
              </w:rPr>
              <w:t xml:space="preserve"> 9:     VALIDO:   sesion ← ¬sesion</w:t>
            </w:r>
          </w:p>
          <w:p>
            <w:pPr>
              <w:keepNext/>
              <w:spacing w:before="0" w:after="0" w:line="240" w:lineRule="auto"/>
            </w:pPr>
            <w:r>
              <w:rPr>
                <w:rFonts w:ascii="Courier New" w:hAnsi="Courier New" w:cs="Courier New"/>
                <w:sz w:val="14"/>
                <w:lang w:val="es-CL"/>
              </w:rPr>
              <w:t>10:               LEDverde ← sesion</w:t>
            </w:r>
          </w:p>
          <w:p>
            <w:pPr>
              <w:keepNext/>
              <w:spacing w:before="0" w:after="0" w:line="240" w:lineRule="auto"/>
            </w:pPr>
            <w:r>
              <w:rPr>
                <w:rFonts w:ascii="Courier New" w:hAnsi="Courier New" w:cs="Courier New"/>
                <w:sz w:val="14"/>
                <w:lang w:val="es-CL"/>
              </w:rPr>
              <w:t>11:               patron ← 1 pitido (abre)</w:t>
            </w:r>
          </w:p>
          <w:p>
            <w:pPr>
              <w:keepNext/>
              <w:spacing w:before="0" w:after="0" w:line="240" w:lineRule="auto"/>
            </w:pPr>
            <w:r>
              <w:rPr>
                <w:rFonts w:ascii="Courier New" w:hAnsi="Courier New" w:cs="Courier New"/>
                <w:sz w:val="14"/>
                <w:lang w:val="es-CL"/>
              </w:rPr>
              <w:t>12:                         o 2 pitidos (cierra)</w:t>
            </w:r>
          </w:p>
          <w:p>
            <w:pPr>
              <w:keepNext/>
              <w:spacing w:before="0" w:after="0" w:line="240" w:lineRule="auto"/>
            </w:pPr>
            <w:r>
              <w:rPr>
                <w:rFonts w:ascii="Courier New" w:hAnsi="Courier New" w:cs="Courier New"/>
                <w:sz w:val="14"/>
                <w:lang w:val="es-CL"/>
              </w:rPr>
              <w:t>13:     INVALIDO: patron ← 3 pitidos + LED rojo</w:t>
            </w:r>
          </w:p>
          <w:p>
            <w:pPr>
              <w:keepNext/>
              <w:spacing w:before="0" w:after="0" w:line="240" w:lineRule="auto"/>
            </w:pPr>
            <w:r>
              <w:rPr>
                <w:rFonts w:ascii="Courier New" w:hAnsi="Courier New" w:cs="Courier New"/>
                <w:sz w:val="14"/>
                <w:lang w:val="es-CL"/>
              </w:rPr>
              <w:t>14:               (la sesión no cambia)</w:t>
            </w:r>
          </w:p>
          <w:p>
            <w:pPr>
              <w:keepNext/>
              <w:spacing w:before="0" w:after="0" w:line="240" w:lineRule="auto"/>
            </w:pPr>
            <w:r>
              <w:rPr>
                <w:rFonts w:ascii="Courier New" w:hAnsi="Courier New" w:cs="Courier New"/>
                <w:sz w:val="14"/>
                <w:lang w:val="es-CL"/>
              </w:rPr>
              <w:t>15:     CAIDA:    patron ← 5 pitidos + LED rojo</w:t>
            </w:r>
          </w:p>
          <w:p>
            <w:pPr>
              <w:keepNext/>
              <w:spacing w:before="0" w:after="0" w:line="240" w:lineRule="auto"/>
            </w:pPr>
            <w:r>
              <w:rPr>
                <w:rFonts w:ascii="Courier New" w:hAnsi="Courier New" w:cs="Courier New"/>
                <w:sz w:val="14"/>
                <w:lang w:val="es-CL"/>
              </w:rPr>
              <w:t>16:     paso ← 0; encender buzzer</w:t>
            </w:r>
          </w:p>
          <w:p>
            <w:pPr>
              <w:keepNext/>
              <w:spacing w:before="0" w:after="0" w:line="240" w:lineRule="auto"/>
            </w:pPr>
            <w:r>
              <w:rPr>
                <w:rFonts w:ascii="Courier New" w:hAnsi="Courier New" w:cs="Courier New"/>
                <w:sz w:val="14"/>
                <w:lang w:val="es-CL"/>
              </w:rPr>
              <w:t>17:   si hay patrón y venció duracion[paso]:</w:t>
            </w:r>
          </w:p>
          <w:p>
            <w:pPr>
              <w:keepNext/>
              <w:spacing w:before="0" w:after="0" w:line="240" w:lineRule="auto"/>
            </w:pPr>
            <w:r>
              <w:rPr>
                <w:rFonts w:ascii="Courier New" w:hAnsi="Courier New" w:cs="Courier New"/>
                <w:sz w:val="14"/>
                <w:lang w:val="es-CL"/>
              </w:rPr>
              <w:t>18:     paso ← paso + 1</w:t>
            </w:r>
          </w:p>
          <w:p>
            <w:pPr>
              <w:keepNext/>
              <w:spacing w:before="0" w:after="0" w:line="240" w:lineRule="auto"/>
            </w:pPr>
            <w:r>
              <w:rPr>
                <w:rFonts w:ascii="Courier New" w:hAnsi="Courier New" w:cs="Courier New"/>
                <w:sz w:val="14"/>
                <w:lang w:val="es-CL"/>
              </w:rPr>
              <w:t>19:     si paso = fin: apagar buzzer y LED rojo</w:t>
            </w:r>
          </w:p>
          <w:p>
            <w:pPr>
              <w:keepNext/>
              <w:spacing w:before="0" w:after="0" w:line="240" w:lineRule="auto"/>
            </w:pPr>
            <w:r>
              <w:rPr>
                <w:rFonts w:ascii="Courier New" w:hAnsi="Courier New" w:cs="Courier New"/>
                <w:sz w:val="14"/>
                <w:lang w:val="es-CL"/>
              </w:rPr>
              <w:t>20:     si no: salidas ← (paso es par)</w:t>
            </w:r>
          </w:p>
        </w:tc>
      </w:tr>
    </w:tbl>
    <w:p>
      <w:pPr>
        <w:spacing w:after="80"/>
      </w:pPr>
    </w:p>
    <w:p>
      <w:pPr>
        <w:pStyle w:val="Ttulo1"/>
        <w:jc w:val="center"/>
      </w:pPr>
      <w:r>
        <w:rPr>
          <w:lang w:val="es-CL"/>
        </w:rPr>
        <w:t>HARDWARE Y JUSTIFICACIÓN</w:t>
      </w:r>
    </w:p>
    <w:p>
      <w:pPr>
        <w:pStyle w:val="Text"/>
      </w:pPr>
      <w:r>
        <w:rPr>
          <w:lang w:val="es-CL"/>
        </w:rPr>
        <w:t>La selección de componentes privilegió tres criterios: interfaz digital con el microcontrolador, rango y resolución suficientes para la variable clínica y disponibilidad de un bus propio para cada sensor. La Tabla II resume el conexionado resultante.</w:t>
      </w:r>
    </w:p>
    <w:p>
      <w:pPr>
        <w:pStyle w:val="Ttulo2"/>
        <w:numPr>
          <w:ilvl w:val="0"/>
          <w:numId w:val="0"/>
        </w:numPr>
      </w:pPr>
      <w:r>
        <w:rPr>
          <w:lang w:val="es-CL"/>
        </w:rPr>
        <w:t>A. Selección de componentes</w:t>
      </w:r>
    </w:p>
    <w:p>
      <w:pPr>
        <w:pStyle w:val="Text"/>
      </w:pPr>
      <w:r>
        <w:rPr>
          <w:b/>
          <w:lang w:val="es-CL"/>
        </w:rPr>
        <w:t>ESP32 (WROOM-32).</w:t>
      </w:r>
      <w:r>
        <w:rPr>
          <w:lang w:val="es-CL"/>
        </w:rPr>
        <w:t xml:space="preserve"> Microcontrolador de doble núcleo Xtensa LX6 de hasta 240 MHz con 520 kB de SRAM [3]. Se eligió frente a un Arduino Uno o un ESP8266 por tres razones verificables en su hoja de datos: dispone de dos controladores I²C por hardware, lo que permite un bus por sensor; tiene dos núcleos, que permiten separar adquisición y comunicación; e integra Wi-Fi 802.11 b/g/n para las etapas IoT y Backend sin un módulo externo. Además, FreeRTOS viene integrado en su SDK, con multiprocesamiento simétrico y funciones de afinidad de núcleo [14].</w:t>
      </w:r>
    </w:p>
    <w:p>
      <w:pPr>
        <w:pStyle w:val="Text"/>
      </w:pPr>
      <w:r>
        <w:rPr>
          <w:b/>
          <w:lang w:val="es-CL"/>
        </w:rPr>
        <w:t>MAX30102.</w:t>
      </w:r>
      <w:r>
        <w:rPr>
          <w:lang w:val="es-CL"/>
        </w:rPr>
        <w:t xml:space="preserve"> Integra un LED rojo (660 nm), un LED infrarrojo (880 nm), el fotodetector y un convertidor de hasta 18 bits con cancelación de luz ambiente, y entrega las muestras por I²C a través de una FIFO de 32 muestras [8]. Esa FIFO es la que permite leer el sensor cada 10 ms sin perder datos aunque la tarea sufra retrasos. Su principal limitación es que la SpO₂ requiere calibrar empíricamente la relación R (Ec. 5), calibración que no existe para el módulo genérico.</w:t>
      </w:r>
    </w:p>
    <w:p>
      <w:pPr>
        <w:pStyle w:val="Text"/>
      </w:pPr>
      <w:r>
        <w:rPr>
          <w:b/>
          <w:lang w:val="es-CL"/>
        </w:rPr>
        <w:t>MPU6050.</w:t>
      </w:r>
      <w:r>
        <w:rPr>
          <w:lang w:val="es-CL"/>
        </w:rPr>
        <w:t xml:space="preserve"> Acelerómetro y giroscopio MEMS de tres ejes con convertidores de 16 bits, rango del acelerómetro programable entre ±2 y ±16 g, filtro pasabajos digital configurable e interfaz I²C [6]. Se prefirió a un acelerómetro analógico como el ADXL335 (±3 g) porque el rango programable permite registrar el impacto completo y la salida digital evita el convertidor analógico-digital del ESP32. La versión del avance dejaba el rango por defecto de ±2 g: con él cada eje se satura en 2 g y el umbral de 2,5 g solo podía superarse combinando ejes saturados. La versión actual programa ±8 g y el filtro de 21 Hz mediante los registros ACCEL_CONFIG (0x1C), CONFIG (0x1A) y SMPLRT_DIV (0x19) [7].</w:t>
      </w:r>
    </w:p>
    <w:p>
      <w:pPr>
        <w:pStyle w:val="Text"/>
      </w:pPr>
      <w:r>
        <w:rPr>
          <w:b/>
          <w:lang w:val="es-CL"/>
        </w:rPr>
        <w:t>DS18B20.</w:t>
      </w:r>
      <w:r>
        <w:rPr>
          <w:lang w:val="es-CL"/>
        </w:rPr>
        <w:t xml:space="preserve"> Sensor digital 1-Wire con exactitud de ±0,5 °C entre −10 y +85 °C, resolución programable hasta 12 bits (0,0625 °C) y un código ROM único de 64 bits [11]. Se eligió frente a un LM35 porque entrega el dato ya digitalizado y no depende del convertidor analógico-digital del ESP32 ni de su calibración. Su desventaja es una conversión de hasta 750 ms a 12 bits, que el firmware resuelve con conversión asíncrona. La dirección ROM se obtiene una sola vez al inicio, lo que evita repetir la búsqueda en el bus en cada lectura, y se descartan los valores de 85 °C (valor de encendido) y −127 °C (sensor desconectado).</w:t>
      </w:r>
    </w:p>
    <w:p>
      <w:pPr>
        <w:pStyle w:val="Text"/>
      </w:pPr>
      <w:r>
        <w:rPr>
          <w:b/>
          <w:lang w:val="es-CL"/>
        </w:rPr>
        <w:t>RC522.</w:t>
      </w:r>
      <w:r>
        <w:rPr>
          <w:lang w:val="es-CL"/>
        </w:rPr>
        <w:t xml:space="preserve"> Lector de 13,56 MHz compatible con ISO/IEC 14443 A y MIFARE, con interfaz SPI [13]. Es el estándar de las credenciales de proximidad y su costo es bajo. La autenticación por UID basta para esta etapa, pero un UID puede clonarse; en un despliegue real conviene usar tarjetas con criptografía o un segundo factor.</w:t>
      </w:r>
    </w:p>
    <w:p>
      <w:pPr>
        <w:pStyle w:val="Text"/>
      </w:pPr>
      <w:r>
        <w:rPr>
          <w:b/>
          <w:lang w:val="es-CL"/>
        </w:rPr>
        <w:t>Actuadores.</w:t>
      </w:r>
      <w:r>
        <w:rPr>
          <w:lang w:val="es-CL"/>
        </w:rPr>
        <w:t xml:space="preserve"> LED verde (GPIO12) para sesión activa, LED rojo (GPIO14) para acceso denegado o alarma y buzzer activo (GPIO15). GPIO12 y GPIO15 son pines de configuración de arranque del ESP32 [3]: GPIO12 no debe quedar en alto durante el reinicio, condición que se cumple porque el LED y su resistencia van a tierra. </w:t>
      </w:r>
      <w:r>
        <w:rPr>
          <w:highlight w:val="yellow"/>
          <w:lang w:val="es-CL"/>
        </w:rPr>
        <w:t>Verificar en el montaje que nada fuerce GPIO12 a nivel alto.</w:t>
      </w:r>
    </w:p>
    <w:p>
      <w:pPr>
        <w:pStyle w:val="TableTitle"/>
        <w:keepNext/>
        <w:spacing w:before="160"/>
      </w:pPr>
      <w:r>
        <w:rPr>
          <w:lang w:val="es-CL"/>
        </w:rPr>
        <w:t>TABLA II</w:t>
      </w:r>
    </w:p>
    <w:p>
      <w:pPr>
        <w:pStyle w:val="TableTitle"/>
        <w:keepNext/>
        <w:spacing w:after="60"/>
      </w:pPr>
      <w:r>
        <w:rPr>
          <w:lang w:val="es-CL"/>
        </w:rPr>
        <w:t>Conexionado del nodo hardware</w:t>
      </w:r>
    </w:p>
    <w:tbl>
      <w:tblPr>
        <w:tblW w:w="5040" w:type="dxa"/>
        <w:jc w:val="center"/>
        <w:tblBorders>
          <w:top w:val="single" w:sz="8" w:space="0" w:color="000000"/>
          <w:left w:val="nil"/>
          <w:bottom w:val="single" w:sz="8" w:space="0" w:color="000000"/>
          <w:right w:val="nil"/>
          <w:insideH w:val="single" w:sz="2" w:space="0" w:color="999999"/>
          <w:insideV w:val="nil"/>
        </w:tblBorders>
        <w:tblLayout w:type="fixed"/>
        <w:tblCellMar>
          <w:left w:w="50" w:type="dxa"/>
          <w:right w:w="50" w:type="dxa"/>
        </w:tblCellMar>
        <w:tblLook w:firstColumn="1" w:firstRow="1" w:lastColumn="0" w:lastRow="0" w:noHBand="0" w:noVBand="1" w:val="04A0"/>
      </w:tblPr>
      <w:tblGrid>
        <w:gridCol w:w="1150"/>
        <w:gridCol w:w="1650"/>
        <w:gridCol w:w="2240"/>
      </w:tblGrid>
      <w:tr>
        <w:trPr>
          <w:cantSplit/>
          <w:tblHeader/>
        </w:trPr>
        <w:tc>
          <w:tcPr>
            <w:tcW w:type="dxa" w:w="1150"/>
            <w:tcBorders>
              <w:bottom w:val="single" w:sz="6" w:space="0" w:color="000000"/>
            </w:tcBorders>
          </w:tcPr>
          <w:p>
            <w:pPr>
              <w:spacing w:before="20" w:after="20"/>
              <w:jc w:val="left"/>
            </w:pPr>
            <w:r>
              <w:rPr>
                <w:b/>
                <w:sz w:val="15"/>
                <w:lang w:val="es-CL"/>
              </w:rPr>
              <w:t>Dispositivo</w:t>
            </w:r>
          </w:p>
        </w:tc>
        <w:tc>
          <w:tcPr>
            <w:tcW w:type="dxa" w:w="1650"/>
            <w:tcBorders>
              <w:bottom w:val="single" w:sz="6" w:space="0" w:color="000000"/>
            </w:tcBorders>
          </w:tcPr>
          <w:p>
            <w:pPr>
              <w:spacing w:before="20" w:after="20"/>
              <w:jc w:val="left"/>
            </w:pPr>
            <w:r>
              <w:rPr>
                <w:b/>
                <w:sz w:val="15"/>
                <w:lang w:val="es-CL"/>
              </w:rPr>
              <w:t>Interfaz</w:t>
            </w:r>
          </w:p>
        </w:tc>
        <w:tc>
          <w:tcPr>
            <w:tcW w:type="dxa" w:w="2240"/>
            <w:tcBorders>
              <w:bottom w:val="single" w:sz="6" w:space="0" w:color="000000"/>
            </w:tcBorders>
          </w:tcPr>
          <w:p>
            <w:pPr>
              <w:spacing w:before="20" w:after="20"/>
              <w:jc w:val="left"/>
            </w:pPr>
            <w:r>
              <w:rPr>
                <w:b/>
                <w:sz w:val="15"/>
                <w:lang w:val="es-CL"/>
              </w:rPr>
              <w:t>Pines ESP32</w:t>
            </w:r>
          </w:p>
        </w:tc>
      </w:tr>
      <w:tr>
        <w:trPr>
          <w:cantSplit/>
        </w:trPr>
        <w:tc>
          <w:tcPr>
            <w:tcW w:type="dxa" w:w="1150"/>
          </w:tcPr>
          <w:p>
            <w:pPr>
              <w:spacing w:before="20" w:after="20"/>
              <w:jc w:val="left"/>
            </w:pPr>
            <w:r>
              <w:rPr>
                <w:sz w:val="15"/>
                <w:lang w:val="es-CL"/>
              </w:rPr>
              <w:t>MAX30102</w:t>
            </w:r>
          </w:p>
        </w:tc>
        <w:tc>
          <w:tcPr>
            <w:tcW w:type="dxa" w:w="1650"/>
          </w:tcPr>
          <w:p>
            <w:pPr>
              <w:spacing w:before="20" w:after="20"/>
              <w:jc w:val="left"/>
            </w:pPr>
            <w:r>
              <w:rPr>
                <w:sz w:val="15"/>
                <w:lang w:val="es-CL"/>
              </w:rPr>
              <w:t>I²C 0 (0x57), 100 kHz</w:t>
            </w:r>
          </w:p>
        </w:tc>
        <w:tc>
          <w:tcPr>
            <w:tcW w:type="dxa" w:w="2240"/>
          </w:tcPr>
          <w:p>
            <w:pPr>
              <w:spacing w:before="20" w:after="20"/>
              <w:jc w:val="left"/>
            </w:pPr>
            <w:r>
              <w:rPr>
                <w:sz w:val="15"/>
                <w:lang w:val="es-CL"/>
              </w:rPr>
              <w:t>SDA 21, SCL 22</w:t>
            </w:r>
          </w:p>
        </w:tc>
      </w:tr>
      <w:tr>
        <w:trPr>
          <w:cantSplit/>
        </w:trPr>
        <w:tc>
          <w:tcPr>
            <w:tcW w:type="dxa" w:w="1150"/>
          </w:tcPr>
          <w:p>
            <w:pPr>
              <w:spacing w:before="20" w:after="20"/>
              <w:jc w:val="left"/>
            </w:pPr>
            <w:r>
              <w:rPr>
                <w:sz w:val="15"/>
                <w:lang w:val="es-CL"/>
              </w:rPr>
              <w:t>MPU6050</w:t>
            </w:r>
          </w:p>
        </w:tc>
        <w:tc>
          <w:tcPr>
            <w:tcW w:type="dxa" w:w="1650"/>
          </w:tcPr>
          <w:p>
            <w:pPr>
              <w:spacing w:before="20" w:after="20"/>
              <w:jc w:val="left"/>
            </w:pPr>
            <w:r>
              <w:rPr>
                <w:sz w:val="15"/>
                <w:lang w:val="es-CL"/>
              </w:rPr>
              <w:t>I²C 1 (0x68), 100 kHz</w:t>
            </w:r>
          </w:p>
        </w:tc>
        <w:tc>
          <w:tcPr>
            <w:tcW w:type="dxa" w:w="2240"/>
          </w:tcPr>
          <w:p>
            <w:pPr>
              <w:spacing w:before="20" w:after="20"/>
              <w:jc w:val="left"/>
            </w:pPr>
            <w:r>
              <w:rPr>
                <w:sz w:val="15"/>
                <w:lang w:val="es-CL"/>
              </w:rPr>
              <w:t>SDA 32, SCL 33</w:t>
            </w:r>
          </w:p>
        </w:tc>
      </w:tr>
      <w:tr>
        <w:trPr>
          <w:cantSplit/>
        </w:trPr>
        <w:tc>
          <w:tcPr>
            <w:tcW w:type="dxa" w:w="1150"/>
          </w:tcPr>
          <w:p>
            <w:pPr>
              <w:spacing w:before="20" w:after="20"/>
              <w:jc w:val="left"/>
            </w:pPr>
            <w:r>
              <w:rPr>
                <w:sz w:val="15"/>
                <w:lang w:val="es-CL"/>
              </w:rPr>
              <w:t>DS18B20</w:t>
            </w:r>
          </w:p>
        </w:tc>
        <w:tc>
          <w:tcPr>
            <w:tcW w:type="dxa" w:w="1650"/>
          </w:tcPr>
          <w:p>
            <w:pPr>
              <w:spacing w:before="20" w:after="20"/>
              <w:jc w:val="left"/>
            </w:pPr>
            <w:r>
              <w:rPr>
                <w:sz w:val="15"/>
                <w:lang w:val="es-CL"/>
              </w:rPr>
              <w:t>1-Wire, pull-up 4,7 kΩ</w:t>
            </w:r>
          </w:p>
        </w:tc>
        <w:tc>
          <w:tcPr>
            <w:tcW w:type="dxa" w:w="2240"/>
          </w:tcPr>
          <w:p>
            <w:pPr>
              <w:spacing w:before="20" w:after="20"/>
              <w:jc w:val="left"/>
            </w:pPr>
            <w:r>
              <w:rPr>
                <w:sz w:val="15"/>
                <w:lang w:val="es-CL"/>
              </w:rPr>
              <w:t>DQ 4</w:t>
            </w:r>
          </w:p>
        </w:tc>
      </w:tr>
      <w:tr>
        <w:trPr>
          <w:cantSplit/>
        </w:trPr>
        <w:tc>
          <w:tcPr>
            <w:tcW w:type="dxa" w:w="1150"/>
          </w:tcPr>
          <w:p>
            <w:pPr>
              <w:spacing w:before="20" w:after="20"/>
              <w:jc w:val="left"/>
            </w:pPr>
            <w:r>
              <w:rPr>
                <w:sz w:val="15"/>
                <w:lang w:val="es-CL"/>
              </w:rPr>
              <w:t>RC522</w:t>
            </w:r>
          </w:p>
        </w:tc>
        <w:tc>
          <w:tcPr>
            <w:tcW w:type="dxa" w:w="1650"/>
          </w:tcPr>
          <w:p>
            <w:pPr>
              <w:spacing w:before="20" w:after="20"/>
              <w:jc w:val="left"/>
            </w:pPr>
            <w:r>
              <w:rPr>
                <w:sz w:val="15"/>
                <w:lang w:val="es-CL"/>
              </w:rPr>
              <w:t>SPI (VSPI)</w:t>
            </w:r>
          </w:p>
        </w:tc>
        <w:tc>
          <w:tcPr>
            <w:tcW w:type="dxa" w:w="2240"/>
          </w:tcPr>
          <w:p>
            <w:pPr>
              <w:spacing w:before="20" w:after="20"/>
              <w:jc w:val="left"/>
            </w:pPr>
            <w:r>
              <w:rPr>
                <w:sz w:val="15"/>
                <w:lang w:val="es-CL"/>
              </w:rPr>
              <w:t>SCK 18, MISO 19, MOSI 23, SS 5, RST 27</w:t>
            </w:r>
          </w:p>
        </w:tc>
      </w:tr>
      <w:tr>
        <w:trPr>
          <w:cantSplit/>
        </w:trPr>
        <w:tc>
          <w:tcPr>
            <w:tcW w:type="dxa" w:w="1150"/>
          </w:tcPr>
          <w:p>
            <w:pPr>
              <w:spacing w:before="20" w:after="20"/>
              <w:jc w:val="left"/>
            </w:pPr>
            <w:r>
              <w:rPr>
                <w:sz w:val="15"/>
                <w:lang w:val="es-CL"/>
              </w:rPr>
              <w:t>LED verde / rojo</w:t>
            </w:r>
          </w:p>
        </w:tc>
        <w:tc>
          <w:tcPr>
            <w:tcW w:type="dxa" w:w="1650"/>
          </w:tcPr>
          <w:p>
            <w:pPr>
              <w:spacing w:before="20" w:after="20"/>
              <w:jc w:val="left"/>
            </w:pPr>
            <w:r>
              <w:rPr>
                <w:sz w:val="15"/>
                <w:lang w:val="es-CL"/>
              </w:rPr>
              <w:t>GPIO + resistencia serie</w:t>
            </w:r>
          </w:p>
        </w:tc>
        <w:tc>
          <w:tcPr>
            <w:tcW w:type="dxa" w:w="2240"/>
          </w:tcPr>
          <w:p>
            <w:pPr>
              <w:spacing w:before="20" w:after="20"/>
              <w:jc w:val="left"/>
            </w:pPr>
            <w:r>
              <w:rPr>
                <w:sz w:val="15"/>
                <w:lang w:val="es-CL"/>
              </w:rPr>
              <w:t>12 / 14</w:t>
            </w:r>
          </w:p>
        </w:tc>
      </w:tr>
      <w:tr>
        <w:trPr>
          <w:cantSplit/>
        </w:trPr>
        <w:tc>
          <w:tcPr>
            <w:tcW w:type="dxa" w:w="1150"/>
          </w:tcPr>
          <w:p>
            <w:pPr>
              <w:spacing w:before="20" w:after="20"/>
              <w:jc w:val="left"/>
            </w:pPr>
            <w:r>
              <w:rPr>
                <w:sz w:val="15"/>
                <w:lang w:val="es-CL"/>
              </w:rPr>
              <w:t>Buzzer activo</w:t>
            </w:r>
          </w:p>
        </w:tc>
        <w:tc>
          <w:tcPr>
            <w:tcW w:type="dxa" w:w="1650"/>
          </w:tcPr>
          <w:p>
            <w:pPr>
              <w:spacing w:before="20" w:after="20"/>
              <w:jc w:val="left"/>
            </w:pPr>
            <w:r>
              <w:rPr>
                <w:sz w:val="15"/>
                <w:lang w:val="es-CL"/>
              </w:rPr>
              <w:t>GPIO (+ transistor)</w:t>
            </w:r>
          </w:p>
        </w:tc>
        <w:tc>
          <w:tcPr>
            <w:tcW w:type="dxa" w:w="2240"/>
          </w:tcPr>
          <w:p>
            <w:pPr>
              <w:spacing w:before="20" w:after="20"/>
              <w:jc w:val="left"/>
            </w:pPr>
            <w:r>
              <w:rPr>
                <w:sz w:val="15"/>
                <w:lang w:val="es-CL"/>
              </w:rPr>
              <w:t>15</w:t>
            </w:r>
          </w:p>
        </w:tc>
      </w:tr>
    </w:tbl>
    <w:p>
      <w:pPr>
        <w:spacing w:after="40"/>
      </w:pPr>
    </w:p>
    <w:p>
      <w:pPr>
        <w:pStyle w:val="Ttulo2"/>
        <w:numPr>
          <w:ilvl w:val="0"/>
          <w:numId w:val="0"/>
        </w:numPr>
      </w:pPr>
      <w:r>
        <w:rPr>
          <w:lang w:val="es-CL"/>
        </w:rPr>
        <w:t>B. Cálculos de diseño</w:t>
      </w:r>
    </w:p>
    <w:p>
      <w:pPr>
        <w:pStyle w:val="Text"/>
      </w:pPr>
      <w:r>
        <w:rPr>
          <w:lang w:val="es-CL"/>
        </w:rPr>
        <w:t>Los cálculos siguientes justifican la configuración de los sensores y del circuito. La magnitud de la aceleración se calcula como</w:t>
      </w:r>
    </w:p>
    <w:p>
      <w:pPr>
        <w:pStyle w:val="Equation"/>
        <w:tabs>
          <w:tab w:val="center" w:pos="2520"/>
          <w:tab w:val="right" w:pos="5040"/>
        </w:tabs>
        <w:spacing w:before="60" w:after="60"/>
      </w:pPr>
      <w:r>
        <w:tab/>
      </w:r>
      <m:oMath>
        <m:r>
          <m:t>a</m:t>
        </m:r>
        <m:r>
          <m:rPr>
            <m:sty m:val="p"/>
          </m:rPr>
          <m:t>=</m:t>
        </m:r>
        <m:f>
          <m:fPr>
            <m:type m:val="bar"/>
          </m:fPr>
          <m:num>
            <m:rad>
              <m:radPr>
                <m:degHide m:val="on"/>
              </m:radPr>
              <m:deg/>
              <m:e>
                <m:sSubSup>
                  <m:e>
                    <m:r>
                      <m:t>a</m:t>
                    </m:r>
                  </m:e>
                  <m:sub>
                    <m:r>
                      <m:t>x</m:t>
                    </m:r>
                  </m:sub>
                  <m:sup>
                    <m:r>
                      <m:t>2</m:t>
                    </m:r>
                  </m:sup>
                </m:sSubSup>
                <m:r>
                  <m:rPr>
                    <m:sty m:val="p"/>
                  </m:rPr>
                  <m:t>+</m:t>
                </m:r>
                <m:sSubSup>
                  <m:e>
                    <m:r>
                      <m:t>a</m:t>
                    </m:r>
                  </m:e>
                  <m:sub>
                    <m:r>
                      <m:t>y</m:t>
                    </m:r>
                  </m:sub>
                  <m:sup>
                    <m:r>
                      <m:t>2</m:t>
                    </m:r>
                  </m:sup>
                </m:sSubSup>
                <m:r>
                  <m:rPr>
                    <m:sty m:val="p"/>
                  </m:rPr>
                  <m:t>+</m:t>
                </m:r>
                <m:sSubSup>
                  <m:e>
                    <m:r>
                      <m:t>a</m:t>
                    </m:r>
                  </m:e>
                  <m:sub>
                    <m:r>
                      <m:t>z</m:t>
                    </m:r>
                  </m:sub>
                  <m:sup>
                    <m:r>
                      <m:t>2</m:t>
                    </m:r>
                  </m:sup>
                </m:sSubSup>
              </m:e>
            </m:rad>
          </m:num>
          <m:den>
            <m:r>
              <m:t>S</m:t>
            </m:r>
          </m:den>
        </m:f>
        <m:r>
          <m:rPr>
            <m:sty m:val="p"/>
          </m:rPr>
          <m:t>,</m:t>
        </m:r>
        <m:r>
          <m:t> </m:t>
        </m:r>
        <m:r>
          <m:t>S</m:t>
        </m:r>
        <m:r>
          <m:rPr>
            <m:sty m:val="p"/>
          </m:rPr>
          <m:t>=</m:t>
        </m:r>
        <m:r>
          <m:t>4096</m:t>
        </m:r>
        <m:r>
          <m:t> </m:t>
        </m:r>
        <m:r>
          <m:rPr>
            <m:sty m:val="p"/>
          </m:rPr>
          <m:t>L</m:t>
        </m:r>
        <m:r>
          <m:rPr>
            <m:sty m:val="p"/>
          </m:rPr>
          <m:t>S</m:t>
        </m:r>
        <m:r>
          <m:rPr>
            <m:sty m:val="p"/>
          </m:rPr>
          <m:t>B</m:t>
        </m:r>
        <m:r>
          <m:rPr>
            <m:sty m:val="p"/>
          </m:rPr>
          <m:t>/</m:t>
        </m:r>
        <m:r>
          <m:rPr>
            <m:sty m:val="p"/>
          </m:rPr>
          <m:t>g</m:t>
        </m:r>
      </m:oMath>
      <w:r>
        <w:rPr>
          <w:lang w:val="es-CL"/>
        </w:rPr>
        <w:tab/>
        <w:t>(1)</w:t>
      </w:r>
    </w:p>
    <w:p>
      <w:pPr>
        <w:pStyle w:val="Text"/>
      </w:pPr>
      <w:r>
        <w:rPr>
          <w:lang w:val="es-CL"/>
        </w:rPr>
        <w:t>donde S es la sensibilidad para ±8 g [6]. La resolución es 1/S = 0,244 mg y el rango por eje es ±8 g, suficiente para que un impacto de 2,5 g no sature ningún eje. La frecuencia de muestreo y el filtro antialiasing quedan definidos por</w:t>
      </w:r>
    </w:p>
    <w:p>
      <w:pPr>
        <w:pStyle w:val="Equation"/>
        <w:tabs>
          <w:tab w:val="center" w:pos="2520"/>
          <w:tab w:val="right" w:pos="5040"/>
        </w:tabs>
        <w:spacing w:before="60" w:after="60"/>
      </w:pPr>
      <w:r>
        <w:tab/>
      </w:r>
      <m:oMath>
        <m:sSub>
          <m:e>
            <m:r>
              <m:t>f</m:t>
            </m:r>
          </m:e>
          <m:sub>
            <m:r>
              <m:t>s</m:t>
            </m:r>
          </m:sub>
        </m:sSub>
        <m:r>
          <m:rPr>
            <m:sty m:val="p"/>
          </m:rPr>
          <m:t>=</m:t>
        </m:r>
        <m:f>
          <m:fPr>
            <m:type m:val="bar"/>
          </m:fPr>
          <m:num>
            <m:r>
              <m:t>1</m:t>
            </m:r>
            <m:r>
              <m:t> </m:t>
            </m:r>
            <m:r>
              <m:rPr>
                <m:sty m:val="p"/>
              </m:rPr>
              <m:t>k</m:t>
            </m:r>
            <m:r>
              <m:rPr>
                <m:sty m:val="p"/>
              </m:rPr>
              <m:t>H</m:t>
            </m:r>
            <m:r>
              <m:rPr>
                <m:sty m:val="p"/>
              </m:rPr>
              <m:t>z</m:t>
            </m:r>
          </m:num>
          <m:den>
            <m:r>
              <m:t>1</m:t>
            </m:r>
            <m:r>
              <m:rPr>
                <m:sty m:val="p"/>
              </m:rPr>
              <m:t>+</m:t>
            </m:r>
            <m:r>
              <m:rPr>
                <m:sty m:val="p"/>
              </m:rPr>
              <m:t>D</m:t>
            </m:r>
            <m:r>
              <m:rPr>
                <m:sty m:val="p"/>
              </m:rPr>
              <m:t>I</m:t>
            </m:r>
            <m:r>
              <m:rPr>
                <m:sty m:val="p"/>
              </m:rPr>
              <m:t>V</m:t>
            </m:r>
          </m:den>
        </m:f>
        <m:r>
          <m:rPr>
            <m:sty m:val="p"/>
          </m:rPr>
          <m:t>=</m:t>
        </m:r>
        <m:f>
          <m:fPr>
            <m:type m:val="bar"/>
          </m:fPr>
          <m:num>
            <m:r>
              <m:t>1000</m:t>
            </m:r>
          </m:num>
          <m:den>
            <m:r>
              <m:t>1</m:t>
            </m:r>
            <m:r>
              <m:rPr>
                <m:sty m:val="p"/>
              </m:rPr>
              <m:t>+</m:t>
            </m:r>
            <m:r>
              <m:t>19</m:t>
            </m:r>
          </m:den>
        </m:f>
        <m:r>
          <m:rPr>
            <m:sty m:val="p"/>
          </m:rPr>
          <m:t>=</m:t>
        </m:r>
        <m:r>
          <m:t>50</m:t>
        </m:r>
        <m:r>
          <m:t> </m:t>
        </m:r>
        <m:r>
          <m:rPr>
            <m:sty m:val="p"/>
          </m:rPr>
          <m:t>H</m:t>
        </m:r>
        <m:r>
          <m:rPr>
            <m:sty m:val="p"/>
          </m:rPr>
          <m:t>z</m:t>
        </m:r>
        <m:r>
          <m:rPr>
            <m:sty m:val="p"/>
          </m:rPr>
          <m:t>&gt;</m:t>
        </m:r>
        <m:r>
          <m:t>2</m:t>
        </m:r>
        <m:sSub>
          <m:e>
            <m:r>
              <m:t>f</m:t>
            </m:r>
          </m:e>
          <m:sub>
            <m:r>
              <m:t>c</m:t>
            </m:r>
          </m:sub>
        </m:sSub>
      </m:oMath>
      <w:r>
        <w:rPr>
          <w:lang w:val="es-CL"/>
        </w:rPr>
        <w:tab/>
        <w:t>(2)</w:t>
      </w:r>
    </w:p>
    <w:p>
      <w:pPr>
        <w:pStyle w:val="Text"/>
      </w:pPr>
      <w:r>
        <w:rPr>
          <w:lang w:val="es-CL"/>
        </w:rPr>
        <w:t>donde f</w:t>
      </w:r>
      <w:r>
        <w:rPr>
          <w:vertAlign w:val="subscript"/>
          <w:lang w:val="es-CL"/>
        </w:rPr>
        <w:t>c</w:t>
      </w:r>
      <w:r>
        <w:rPr>
          <w:lang w:val="es-CL"/>
        </w:rPr>
        <w:t xml:space="preserve"> = 21 Hz es el ancho de banda del filtro digital con DLPF_CFG = 4 [7]. Con el valor de 44 Hz (DLPF_CFG = 3) no se cumpliría el criterio de Nyquist, porque f</w:t>
      </w:r>
      <w:r>
        <w:rPr>
          <w:vertAlign w:val="subscript"/>
          <w:lang w:val="es-CL"/>
        </w:rPr>
        <w:t>s</w:t>
      </w:r>
      <w:r>
        <w:rPr>
          <w:lang w:val="es-CL"/>
        </w:rPr>
        <w:t>/2 = 25 Hz. Para el MAX30102, la tasa efectiva y la autonomía de la FIFO son</w:t>
      </w:r>
    </w:p>
    <w:p>
      <w:pPr>
        <w:pStyle w:val="Equation"/>
        <w:tabs>
          <w:tab w:val="center" w:pos="2520"/>
          <w:tab w:val="right" w:pos="5040"/>
        </w:tabs>
        <w:spacing w:before="60" w:after="60"/>
      </w:pPr>
      <w:r>
        <w:tab/>
      </w:r>
      <m:oMath>
        <m:sSub>
          <m:e>
            <m:r>
              <m:t>f</m:t>
            </m:r>
          </m:e>
          <m:sub>
            <m:r>
              <m:rPr>
                <m:sty m:val="p"/>
              </m:rPr>
              <m:t>P</m:t>
            </m:r>
            <m:r>
              <m:rPr>
                <m:sty m:val="p"/>
              </m:rPr>
              <m:t>P</m:t>
            </m:r>
            <m:r>
              <m:rPr>
                <m:sty m:val="p"/>
              </m:rPr>
              <m:t>G</m:t>
            </m:r>
          </m:sub>
        </m:sSub>
        <m:r>
          <m:rPr>
            <m:sty m:val="p"/>
          </m:rPr>
          <m:t>=</m:t>
        </m:r>
        <m:f>
          <m:fPr>
            <m:type m:val="bar"/>
          </m:fPr>
          <m:num>
            <m:r>
              <m:t>400</m:t>
            </m:r>
          </m:num>
          <m:den>
            <m:r>
              <m:t>4</m:t>
            </m:r>
          </m:den>
        </m:f>
        <m:r>
          <m:rPr>
            <m:sty m:val="p"/>
          </m:rPr>
          <m:t>=</m:t>
        </m:r>
        <m:r>
          <m:t>100</m:t>
        </m:r>
        <m:r>
          <m:t> </m:t>
        </m:r>
        <m:r>
          <m:rPr>
            <m:sty m:val="p"/>
          </m:rPr>
          <m:t>H</m:t>
        </m:r>
        <m:r>
          <m:rPr>
            <m:sty m:val="p"/>
          </m:rPr>
          <m:t>z</m:t>
        </m:r>
        <m:r>
          <m:rPr>
            <m:sty m:val="p"/>
          </m:rPr>
          <m:t>,</m:t>
        </m:r>
        <m:r>
          <m:t> </m:t>
        </m:r>
        <m:sSub>
          <m:e>
            <m:r>
              <m:t>T</m:t>
            </m:r>
          </m:e>
          <m:sub>
            <m:r>
              <m:rPr>
                <m:sty m:val="p"/>
              </m:rPr>
              <m:t>F</m:t>
            </m:r>
            <m:r>
              <m:rPr>
                <m:sty m:val="p"/>
              </m:rPr>
              <m:t>I</m:t>
            </m:r>
            <m:r>
              <m:rPr>
                <m:sty m:val="p"/>
              </m:rPr>
              <m:t>F</m:t>
            </m:r>
            <m:r>
              <m:rPr>
                <m:sty m:val="p"/>
              </m:rPr>
              <m:t>O</m:t>
            </m:r>
          </m:sub>
        </m:sSub>
        <m:r>
          <m:rPr>
            <m:sty m:val="p"/>
          </m:rPr>
          <m:t>=</m:t>
        </m:r>
        <m:f>
          <m:fPr>
            <m:type m:val="bar"/>
          </m:fPr>
          <m:num>
            <m:r>
              <m:t>32</m:t>
            </m:r>
          </m:num>
          <m:den>
            <m:sSub>
              <m:e>
                <m:r>
                  <m:t>f</m:t>
                </m:r>
              </m:e>
              <m:sub>
                <m:r>
                  <m:rPr>
                    <m:sty m:val="p"/>
                  </m:rPr>
                  <m:t>P</m:t>
                </m:r>
                <m:r>
                  <m:rPr>
                    <m:sty m:val="p"/>
                  </m:rPr>
                  <m:t>P</m:t>
                </m:r>
                <m:r>
                  <m:rPr>
                    <m:sty m:val="p"/>
                  </m:rPr>
                  <m:t>G</m:t>
                </m:r>
              </m:sub>
            </m:sSub>
          </m:den>
        </m:f>
        <m:r>
          <m:rPr>
            <m:sty m:val="p"/>
          </m:rPr>
          <m:t>=</m:t>
        </m:r>
        <m:r>
          <m:t>320</m:t>
        </m:r>
        <m:r>
          <m:t> </m:t>
        </m:r>
        <m:r>
          <m:rPr>
            <m:sty m:val="p"/>
          </m:rPr>
          <m:t>m</m:t>
        </m:r>
        <m:r>
          <m:rPr>
            <m:sty m:val="p"/>
          </m:rPr>
          <m:t>s</m:t>
        </m:r>
      </m:oMath>
      <w:r>
        <w:rPr>
          <w:lang w:val="es-CL"/>
        </w:rPr>
        <w:tab/>
        <w:t>(3)</w:t>
      </w:r>
    </w:p>
    <w:p>
      <w:pPr>
        <w:pStyle w:val="Text"/>
      </w:pPr>
      <w:r>
        <w:rPr>
          <w:lang w:val="es-CL"/>
        </w:rPr>
        <w:t>La tarea sondea cada 10 ms, de modo que la FIFO tiene un margen de 32 periodos antes de desbordarse. La frecuencia cardiaca se obtiene del número N de muestras entre latidos y su resolución es</w:t>
      </w:r>
    </w:p>
    <w:p>
      <w:pPr>
        <w:pStyle w:val="Equation"/>
        <w:tabs>
          <w:tab w:val="center" w:pos="2520"/>
          <w:tab w:val="right" w:pos="5040"/>
        </w:tabs>
        <w:spacing w:before="60" w:after="60"/>
      </w:pPr>
      <w:r>
        <w:tab/>
      </w:r>
      <m:oMath>
        <m:r>
          <m:t>F</m:t>
        </m:r>
        <m:r>
          <m:t>C</m:t>
        </m:r>
        <m:r>
          <m:rPr>
            <m:sty m:val="p"/>
          </m:rPr>
          <m:t>=</m:t>
        </m:r>
        <m:f>
          <m:fPr>
            <m:type m:val="bar"/>
          </m:fPr>
          <m:num>
            <m:r>
              <m:t>60</m:t>
            </m:r>
            <m:r>
              <m:t> </m:t>
            </m:r>
            <m:sSub>
              <m:e>
                <m:r>
                  <m:t>f</m:t>
                </m:r>
              </m:e>
              <m:sub>
                <m:r>
                  <m:rPr>
                    <m:sty m:val="p"/>
                  </m:rPr>
                  <m:t>P</m:t>
                </m:r>
                <m:r>
                  <m:rPr>
                    <m:sty m:val="p"/>
                  </m:rPr>
                  <m:t>P</m:t>
                </m:r>
                <m:r>
                  <m:rPr>
                    <m:sty m:val="p"/>
                  </m:rPr>
                  <m:t>G</m:t>
                </m:r>
              </m:sub>
            </m:sSub>
          </m:num>
          <m:den>
            <m:r>
              <m:t>N</m:t>
            </m:r>
          </m:den>
        </m:f>
        <m:r>
          <m:rPr>
            <m:sty m:val="p"/>
          </m:rPr>
          <m:t>,</m:t>
        </m:r>
        <m:r>
          <m:t> </m:t>
        </m:r>
        <m:d>
          <m:dPr>
            <m:begChr m:val="|"/>
            <m:sepChr m:val=""/>
            <m:endChr m:val="|"/>
            <m:grow/>
          </m:dPr>
          <m:e>
            <m:r>
              <m:t>Δ</m:t>
            </m:r>
            <m:r>
              <m:t>F</m:t>
            </m:r>
            <m:r>
              <m:t>C</m:t>
            </m:r>
          </m:e>
        </m:d>
        <m:r>
          <m:rPr>
            <m:sty m:val="p"/>
          </m:rPr>
          <m:t>≈</m:t>
        </m:r>
        <m:f>
          <m:fPr>
            <m:type m:val="bar"/>
          </m:fPr>
          <m:num>
            <m:r>
              <m:t>F</m:t>
            </m:r>
            <m:sSup>
              <m:e>
                <m:r>
                  <m:t>C</m:t>
                </m:r>
              </m:e>
              <m:sup>
                <m:r>
                  <m:t>2</m:t>
                </m:r>
              </m:sup>
            </m:sSup>
          </m:num>
          <m:den>
            <m:r>
              <m:t>60</m:t>
            </m:r>
            <m:r>
              <m:t> </m:t>
            </m:r>
            <m:sSub>
              <m:e>
                <m:r>
                  <m:t>f</m:t>
                </m:r>
              </m:e>
              <m:sub>
                <m:r>
                  <m:rPr>
                    <m:sty m:val="p"/>
                  </m:rPr>
                  <m:t>P</m:t>
                </m:r>
                <m:r>
                  <m:rPr>
                    <m:sty m:val="p"/>
                  </m:rPr>
                  <m:t>P</m:t>
                </m:r>
                <m:r>
                  <m:rPr>
                    <m:sty m:val="p"/>
                  </m:rPr>
                  <m:t>G</m:t>
                </m:r>
              </m:sub>
            </m:sSub>
          </m:den>
        </m:f>
      </m:oMath>
      <w:r>
        <w:rPr>
          <w:lang w:val="es-CL"/>
        </w:rPr>
        <w:tab/>
        <w:t>(4)</w:t>
      </w:r>
    </w:p>
    <w:p>
      <w:pPr>
        <w:pStyle w:val="Text"/>
      </w:pPr>
      <w:r>
        <w:rPr>
          <w:lang w:val="es-CL"/>
        </w:rPr>
        <w:t>A 75 lpm y 100 Hz, la incertidumbre de cuantización es de ±0,94 lpm; con la configuración del avance (100 sps y promedio de 4, es decir, 25 Hz efectivos) era de ±3,75 lpm. Por esa razón la versión actual usa 400 sps, permitido con un ancho de pulso de 411 µs [8], y mide el intervalo entre latidos contando muestras en lugar de leer millis(), que dependía del instante en que se vaciaba la FIFO. La SpO₂ se estima con la razón de razones</w:t>
      </w:r>
    </w:p>
    <w:p>
      <w:pPr>
        <w:pStyle w:val="Equation"/>
        <w:tabs>
          <w:tab w:val="center" w:pos="2520"/>
          <w:tab w:val="right" w:pos="5040"/>
        </w:tabs>
        <w:spacing w:before="60" w:after="60"/>
      </w:pPr>
      <w:r>
        <w:tab/>
      </w:r>
      <m:oMath>
        <m:r>
          <m:t>R</m:t>
        </m:r>
        <m:r>
          <m:rPr>
            <m:sty m:val="p"/>
          </m:rPr>
          <m:t>=</m:t>
        </m:r>
        <m:f>
          <m:fPr>
            <m:type m:val="bar"/>
          </m:fPr>
          <m:num>
            <m:r>
              <m:t>A</m:t>
            </m:r>
            <m:sSub>
              <m:e>
                <m:r>
                  <m:t>C</m:t>
                </m:r>
              </m:e>
              <m:sub>
                <m:r>
                  <m:rPr>
                    <m:sty m:val="p"/>
                  </m:rPr>
                  <m:t>R</m:t>
                </m:r>
              </m:sub>
            </m:sSub>
            <m:r>
              <m:rPr>
                <m:sty m:val="p"/>
              </m:rPr>
              <m:t>/</m:t>
            </m:r>
            <m:r>
              <m:t>D</m:t>
            </m:r>
            <m:sSub>
              <m:e>
                <m:r>
                  <m:t>C</m:t>
                </m:r>
              </m:e>
              <m:sub>
                <m:r>
                  <m:rPr>
                    <m:sty m:val="p"/>
                  </m:rPr>
                  <m:t>R</m:t>
                </m:r>
              </m:sub>
            </m:sSub>
          </m:num>
          <m:den>
            <m:r>
              <m:t>A</m:t>
            </m:r>
            <m:sSub>
              <m:e>
                <m:r>
                  <m:t>C</m:t>
                </m:r>
              </m:e>
              <m:sub>
                <m:r>
                  <m:rPr>
                    <m:sty m:val="p"/>
                  </m:rPr>
                  <m:t>I</m:t>
                </m:r>
                <m:r>
                  <m:rPr>
                    <m:sty m:val="p"/>
                  </m:rPr>
                  <m:t>R</m:t>
                </m:r>
              </m:sub>
            </m:sSub>
            <m:r>
              <m:rPr>
                <m:sty m:val="p"/>
              </m:rPr>
              <m:t>/</m:t>
            </m:r>
            <m:r>
              <m:t>D</m:t>
            </m:r>
            <m:sSub>
              <m:e>
                <m:r>
                  <m:t>C</m:t>
                </m:r>
              </m:e>
              <m:sub>
                <m:r>
                  <m:rPr>
                    <m:sty m:val="p"/>
                  </m:rPr>
                  <m:t>I</m:t>
                </m:r>
                <m:r>
                  <m:rPr>
                    <m:sty m:val="p"/>
                  </m:rPr>
                  <m:t>R</m:t>
                </m:r>
              </m:sub>
            </m:sSub>
          </m:den>
        </m:f>
        <m:r>
          <m:rPr>
            <m:sty m:val="p"/>
          </m:rPr>
          <m:t>,</m:t>
        </m:r>
        <m:r>
          <m:t> </m:t>
        </m:r>
        <m:r>
          <m:rPr>
            <m:sty m:val="p"/>
          </m:rPr>
          <m:t>S</m:t>
        </m:r>
        <m:r>
          <m:rPr>
            <m:sty m:val="p"/>
          </m:rPr>
          <m:t>p</m:t>
        </m:r>
        <m:sSub>
          <m:e>
            <m:r>
              <m:rPr>
                <m:sty m:val="p"/>
              </m:rPr>
              <m:t>O</m:t>
            </m:r>
          </m:e>
          <m:sub>
            <m:r>
              <m:rPr>
                <m:sty m:val="p"/>
              </m:rPr>
              <m:t>2</m:t>
            </m:r>
          </m:sub>
        </m:sSub>
        <m:r>
          <m:rPr>
            <m:sty m:val="p"/>
          </m:rPr>
          <m:t>≈</m:t>
        </m:r>
        <m:r>
          <m:t>110</m:t>
        </m:r>
        <m:r>
          <m:rPr>
            <m:sty m:val="p"/>
          </m:rPr>
          <m:t>−</m:t>
        </m:r>
        <m:r>
          <m:t>25</m:t>
        </m:r>
        <m:r>
          <m:t>R</m:t>
        </m:r>
      </m:oMath>
      <w:r>
        <w:rPr>
          <w:lang w:val="es-CL"/>
        </w:rPr>
        <w:tab/>
        <w:t>(5)</w:t>
      </w:r>
    </w:p>
    <w:p>
      <w:pPr>
        <w:pStyle w:val="Text"/>
      </w:pPr>
      <w:r>
        <w:rPr>
          <w:lang w:val="es-CL"/>
        </w:rPr>
        <w:t>La recta 110 − 25R es una aproximación empírica no calibrada; su validación exige comparar con un oxímetro de referencia [9], [10]. Para los LEDs, con V</w:t>
      </w:r>
      <w:r>
        <w:rPr>
          <w:vertAlign w:val="subscript"/>
          <w:lang w:val="es-CL"/>
        </w:rPr>
        <w:t>OH</w:t>
      </w:r>
      <w:r>
        <w:rPr>
          <w:lang w:val="es-CL"/>
        </w:rPr>
        <w:t xml:space="preserve"> ≈ 3,3 V y V</w:t>
      </w:r>
      <w:r>
        <w:rPr>
          <w:vertAlign w:val="subscript"/>
          <w:lang w:val="es-CL"/>
        </w:rPr>
        <w:t>F</w:t>
      </w:r>
      <w:r>
        <w:rPr>
          <w:lang w:val="es-CL"/>
        </w:rPr>
        <w:t xml:space="preserve"> ≈ 2,0 V,</w:t>
      </w:r>
    </w:p>
    <w:p>
      <w:pPr>
        <w:pStyle w:val="Equation"/>
        <w:tabs>
          <w:tab w:val="center" w:pos="2520"/>
          <w:tab w:val="right" w:pos="5040"/>
        </w:tabs>
        <w:spacing w:before="60" w:after="60"/>
      </w:pPr>
      <w:r>
        <w:tab/>
      </w:r>
      <m:oMath>
        <m:sSub>
          <m:e>
            <m:r>
              <m:t>R</m:t>
            </m:r>
          </m:e>
          <m:sub>
            <m:r>
              <m:rPr>
                <m:sty m:val="p"/>
              </m:rPr>
              <m:t>L</m:t>
            </m:r>
            <m:r>
              <m:rPr>
                <m:sty m:val="p"/>
              </m:rPr>
              <m:t>E</m:t>
            </m:r>
            <m:r>
              <m:rPr>
                <m:sty m:val="p"/>
              </m:rPr>
              <m:t>D</m:t>
            </m:r>
          </m:sub>
        </m:sSub>
        <m:r>
          <m:rPr>
            <m:sty m:val="p"/>
          </m:rPr>
          <m:t>=</m:t>
        </m:r>
        <m:f>
          <m:fPr>
            <m:type m:val="bar"/>
          </m:fPr>
          <m:num>
            <m:sSub>
              <m:e>
                <m:r>
                  <m:t>V</m:t>
                </m:r>
              </m:e>
              <m:sub>
                <m:r>
                  <m:rPr>
                    <m:sty m:val="p"/>
                  </m:rPr>
                  <m:t>O</m:t>
                </m:r>
                <m:r>
                  <m:rPr>
                    <m:sty m:val="p"/>
                  </m:rPr>
                  <m:t>H</m:t>
                </m:r>
              </m:sub>
            </m:sSub>
            <m:r>
              <m:rPr>
                <m:sty m:val="p"/>
              </m:rPr>
              <m:t>−</m:t>
            </m:r>
            <m:sSub>
              <m:e>
                <m:r>
                  <m:t>V</m:t>
                </m:r>
              </m:e>
              <m:sub>
                <m:r>
                  <m:rPr>
                    <m:sty m:val="p"/>
                  </m:rPr>
                  <m:t>F</m:t>
                </m:r>
              </m:sub>
            </m:sSub>
          </m:num>
          <m:den>
            <m:sSub>
              <m:e>
                <m:r>
                  <m:t>I</m:t>
                </m:r>
              </m:e>
              <m:sub>
                <m:r>
                  <m:rPr>
                    <m:sty m:val="p"/>
                  </m:rPr>
                  <m:t>F</m:t>
                </m:r>
              </m:sub>
            </m:sSub>
          </m:den>
        </m:f>
        <m:r>
          <m:rPr>
            <m:sty m:val="p"/>
          </m:rPr>
          <m:t>=</m:t>
        </m:r>
        <m:f>
          <m:fPr>
            <m:type m:val="bar"/>
          </m:fPr>
          <m:num>
            <m:r>
              <m:t>3</m:t>
            </m:r>
            <m:r>
              <m:rPr>
                <m:sty m:val="p"/>
              </m:rPr>
              <m:t>,</m:t>
            </m:r>
            <m:r>
              <m:t>3</m:t>
            </m:r>
            <m:r>
              <m:rPr>
                <m:sty m:val="p"/>
              </m:rPr>
              <m:t>−</m:t>
            </m:r>
            <m:r>
              <m:t>2</m:t>
            </m:r>
            <m:r>
              <m:rPr>
                <m:sty m:val="p"/>
              </m:rPr>
              <m:t>,</m:t>
            </m:r>
            <m:r>
              <m:t>0</m:t>
            </m:r>
          </m:num>
          <m:den>
            <m:r>
              <m:t>5</m:t>
            </m:r>
            <m:r>
              <m:t> </m:t>
            </m:r>
            <m:r>
              <m:rPr>
                <m:sty m:val="p"/>
              </m:rPr>
              <m:t>m</m:t>
            </m:r>
            <m:r>
              <m:rPr>
                <m:sty m:val="p"/>
              </m:rPr>
              <m:t>A</m:t>
            </m:r>
          </m:den>
        </m:f>
        <m:r>
          <m:rPr>
            <m:sty m:val="p"/>
          </m:rPr>
          <m:t>=</m:t>
        </m:r>
        <m:r>
          <m:t>260</m:t>
        </m:r>
        <m:r>
          <m:t> </m:t>
        </m:r>
        <m:r>
          <m:t>Ω</m:t>
        </m:r>
      </m:oMath>
      <w:r>
        <w:rPr>
          <w:lang w:val="es-CL"/>
        </w:rPr>
        <w:tab/>
        <w:t>(6)</w:t>
      </w:r>
    </w:p>
    <w:p>
      <w:pPr>
        <w:pStyle w:val="Text"/>
      </w:pPr>
      <w:r>
        <w:rPr>
          <w:lang w:val="es-CL"/>
        </w:rPr>
        <w:t xml:space="preserve">se usa el valor comercial de 220 Ω, que da 5,9 mA, bajo el límite recomendado por pin del ESP32. </w:t>
      </w:r>
      <w:r>
        <w:rPr>
          <w:highlight w:val="yellow"/>
          <w:lang w:val="es-CL"/>
        </w:rPr>
        <w:t>Verificar el valor de resistencia montado y la tensión directa de los LEDs usados.</w:t>
      </w:r>
      <w:r>
        <w:rPr>
          <w:lang w:val="es-CL"/>
        </w:rPr>
        <w:t xml:space="preserve"> Un buzzer activo consume del orden de 30 mA, por lo que se maneja con un transistor NPN (p. ej., BC547) y resistencia de base de 1 kΩ:</w:t>
      </w:r>
    </w:p>
    <w:p>
      <w:pPr>
        <w:pStyle w:val="Equation"/>
        <w:tabs>
          <w:tab w:val="center" w:pos="2520"/>
          <w:tab w:val="right" w:pos="5040"/>
        </w:tabs>
        <w:spacing w:before="60" w:after="60"/>
      </w:pPr>
      <w:r>
        <w:tab/>
      </w:r>
      <m:oMath>
        <m:sSub>
          <m:e>
            <m:r>
              <m:t>I</m:t>
            </m:r>
          </m:e>
          <m:sub>
            <m:r>
              <m:rPr>
                <m:sty m:val="p"/>
              </m:rPr>
              <m:t>B</m:t>
            </m:r>
          </m:sub>
        </m:sSub>
        <m:r>
          <m:rPr>
            <m:sty m:val="p"/>
          </m:rPr>
          <m:t>=</m:t>
        </m:r>
        <m:f>
          <m:fPr>
            <m:type m:val="bar"/>
          </m:fPr>
          <m:num>
            <m:sSub>
              <m:e>
                <m:r>
                  <m:t>V</m:t>
                </m:r>
              </m:e>
              <m:sub>
                <m:r>
                  <m:rPr>
                    <m:sty m:val="p"/>
                  </m:rPr>
                  <m:t>O</m:t>
                </m:r>
                <m:r>
                  <m:rPr>
                    <m:sty m:val="p"/>
                  </m:rPr>
                  <m:t>H</m:t>
                </m:r>
              </m:sub>
            </m:sSub>
            <m:r>
              <m:rPr>
                <m:sty m:val="p"/>
              </m:rPr>
              <m:t>−</m:t>
            </m:r>
            <m:sSub>
              <m:e>
                <m:r>
                  <m:t>V</m:t>
                </m:r>
              </m:e>
              <m:sub>
                <m:r>
                  <m:rPr>
                    <m:sty m:val="p"/>
                  </m:rPr>
                  <m:t>B</m:t>
                </m:r>
                <m:r>
                  <m:rPr>
                    <m:sty m:val="p"/>
                  </m:rPr>
                  <m:t>E</m:t>
                </m:r>
              </m:sub>
            </m:sSub>
          </m:num>
          <m:den>
            <m:sSub>
              <m:e>
                <m:r>
                  <m:t>R</m:t>
                </m:r>
              </m:e>
              <m:sub>
                <m:r>
                  <m:rPr>
                    <m:sty m:val="p"/>
                  </m:rPr>
                  <m:t>B</m:t>
                </m:r>
              </m:sub>
            </m:sSub>
          </m:den>
        </m:f>
        <m:r>
          <m:rPr>
            <m:sty m:val="p"/>
          </m:rPr>
          <m:t>=</m:t>
        </m:r>
        <m:f>
          <m:fPr>
            <m:type m:val="bar"/>
          </m:fPr>
          <m:num>
            <m:r>
              <m:t>3</m:t>
            </m:r>
            <m:r>
              <m:rPr>
                <m:sty m:val="p"/>
              </m:rPr>
              <m:t>,</m:t>
            </m:r>
            <m:r>
              <m:t>3</m:t>
            </m:r>
            <m:r>
              <m:rPr>
                <m:sty m:val="p"/>
              </m:rPr>
              <m:t>−</m:t>
            </m:r>
            <m:r>
              <m:t>0</m:t>
            </m:r>
            <m:r>
              <m:rPr>
                <m:sty m:val="p"/>
              </m:rPr>
              <m:t>,</m:t>
            </m:r>
            <m:r>
              <m:t>7</m:t>
            </m:r>
          </m:num>
          <m:den>
            <m:r>
              <m:t>1</m:t>
            </m:r>
            <m:r>
              <m:t> </m:t>
            </m:r>
            <m:r>
              <m:rPr>
                <m:sty m:val="p"/>
              </m:rPr>
              <m:t>k</m:t>
            </m:r>
            <m:r>
              <m:rPr>
                <m:sty m:val="p"/>
              </m:rPr>
              <m:t>Ω</m:t>
            </m:r>
          </m:den>
        </m:f>
        <m:r>
          <m:rPr>
            <m:sty m:val="p"/>
          </m:rPr>
          <m:t>=</m:t>
        </m:r>
        <m:r>
          <m:t>2</m:t>
        </m:r>
        <m:r>
          <m:rPr>
            <m:sty m:val="p"/>
          </m:rPr>
          <m:t>,</m:t>
        </m:r>
        <m:r>
          <m:t>6</m:t>
        </m:r>
        <m:r>
          <m:t> </m:t>
        </m:r>
        <m:r>
          <m:rPr>
            <m:sty m:val="p"/>
          </m:rPr>
          <m:t>m</m:t>
        </m:r>
        <m:r>
          <m:rPr>
            <m:sty m:val="p"/>
          </m:rPr>
          <m:t>A</m:t>
        </m:r>
      </m:oMath>
      <w:r>
        <w:rPr>
          <w:lang w:val="es-CL"/>
        </w:rPr>
        <w:tab/>
        <w:t>(7)</w:t>
      </w:r>
    </w:p>
    <w:p>
      <w:pPr>
        <w:pStyle w:val="Text"/>
      </w:pPr>
      <w:r>
        <w:rPr>
          <w:lang w:val="es-CL"/>
        </w:rPr>
        <w:t xml:space="preserve">Con una ganancia mínima de 110, el transistor admite hasta 286 mA de colector, muy por sobre los 30 mA del buzzer, y queda saturado. </w:t>
      </w:r>
      <w:r>
        <w:rPr>
          <w:highlight w:val="yellow"/>
          <w:lang w:val="es-CL"/>
        </w:rPr>
        <w:t>Confirmar si el montaje usa transistor; si el buzzer va directo al GPIO, medir su corriente.</w:t>
      </w:r>
      <w:r>
        <w:rPr>
          <w:lang w:val="es-CL"/>
        </w:rPr>
        <w:t xml:space="preserve"> Las resistencias de pull-up del bus I²C deben cumplir el tiempo de subida del modo estándar [22]. Con una capacitancia de bus de 100 pF,</w:t>
      </w:r>
    </w:p>
    <w:p>
      <w:pPr>
        <w:pStyle w:val="Equation"/>
        <w:tabs>
          <w:tab w:val="center" w:pos="2520"/>
          <w:tab w:val="right" w:pos="5040"/>
        </w:tabs>
        <w:spacing w:before="60" w:after="60"/>
      </w:pPr>
      <w:r>
        <w:tab/>
      </w:r>
      <m:oMath>
        <m:sSub>
          <m:e>
            <m:r>
              <m:t>t</m:t>
            </m:r>
          </m:e>
          <m:sub>
            <m:r>
              <m:t>r</m:t>
            </m:r>
          </m:sub>
        </m:sSub>
        <m:r>
          <m:rPr>
            <m:sty m:val="p"/>
          </m:rPr>
          <m:t>=</m:t>
        </m:r>
        <m:r>
          <m:t>0</m:t>
        </m:r>
        <m:r>
          <m:rPr>
            <m:sty m:val="p"/>
          </m:rPr>
          <m:t>,</m:t>
        </m:r>
        <m:r>
          <m:t>8473</m:t>
        </m:r>
        <m:r>
          <m:t> </m:t>
        </m:r>
        <m:sSub>
          <m:e>
            <m:r>
              <m:t>R</m:t>
            </m:r>
          </m:e>
          <m:sub>
            <m:r>
              <m:t>p</m:t>
            </m:r>
          </m:sub>
        </m:sSub>
        <m:r>
          <m:t> </m:t>
        </m:r>
        <m:sSub>
          <m:e>
            <m:r>
              <m:t>C</m:t>
            </m:r>
          </m:e>
          <m:sub>
            <m:r>
              <m:t>b</m:t>
            </m:r>
          </m:sub>
        </m:sSub>
        <m:r>
          <m:rPr>
            <m:sty m:val="p"/>
          </m:rPr>
          <m:t>≤</m:t>
        </m:r>
        <m:r>
          <m:t>1000</m:t>
        </m:r>
        <m:r>
          <m:t> </m:t>
        </m:r>
        <m:r>
          <m:rPr>
            <m:sty m:val="p"/>
          </m:rPr>
          <m:t>n</m:t>
        </m:r>
        <m:r>
          <m:rPr>
            <m:sty m:val="p"/>
          </m:rPr>
          <m:t>s</m:t>
        </m:r>
        <m:r>
          <m:t> </m:t>
        </m:r>
        <m:r>
          <m:rPr>
            <m:sty m:val="p"/>
          </m:rPr>
          <m:t>⇒</m:t>
        </m:r>
        <m:r>
          <m:t> </m:t>
        </m:r>
        <m:sSub>
          <m:e>
            <m:r>
              <m:t>R</m:t>
            </m:r>
          </m:e>
          <m:sub>
            <m:r>
              <m:t>p</m:t>
            </m:r>
          </m:sub>
        </m:sSub>
        <m:r>
          <m:rPr>
            <m:sty m:val="p"/>
          </m:rPr>
          <m:t>≤</m:t>
        </m:r>
        <m:r>
          <m:t>11</m:t>
        </m:r>
        <m:r>
          <m:rPr>
            <m:sty m:val="p"/>
          </m:rPr>
          <m:t>,</m:t>
        </m:r>
        <m:r>
          <m:t>8</m:t>
        </m:r>
        <m:r>
          <m:t> </m:t>
        </m:r>
        <m:r>
          <m:rPr>
            <m:sty m:val="p"/>
          </m:rPr>
          <m:t>k</m:t>
        </m:r>
        <m:r>
          <m:rPr>
            <m:sty m:val="p"/>
          </m:rPr>
          <m:t>Ω</m:t>
        </m:r>
      </m:oMath>
      <w:r>
        <w:rPr>
          <w:lang w:val="es-CL"/>
        </w:rPr>
        <w:tab/>
        <w:t>(8)</w:t>
      </w:r>
    </w:p>
    <w:p>
      <w:pPr>
        <w:pStyle w:val="Equation"/>
        <w:tabs>
          <w:tab w:val="center" w:pos="2520"/>
          <w:tab w:val="right" w:pos="5040"/>
        </w:tabs>
        <w:spacing w:before="60" w:after="60"/>
      </w:pPr>
      <w:r>
        <w:tab/>
      </w:r>
      <m:oMath>
        <m:sSub>
          <m:e>
            <m:r>
              <m:t>R</m:t>
            </m:r>
          </m:e>
          <m:sub>
            <m:r>
              <m:t>p</m:t>
            </m:r>
            <m:r>
              <m:rPr>
                <m:sty m:val="p"/>
              </m:rPr>
              <m:t>,</m:t>
            </m:r>
            <m:r>
              <m:rPr>
                <m:sty m:val="p"/>
              </m:rPr>
              <m:t>m</m:t>
            </m:r>
            <m:r>
              <m:rPr>
                <m:sty m:val="p"/>
              </m:rPr>
              <m:t>i</m:t>
            </m:r>
            <m:r>
              <m:rPr>
                <m:sty m:val="p"/>
              </m:rPr>
              <m:t>n</m:t>
            </m:r>
          </m:sub>
        </m:sSub>
        <m:r>
          <m:rPr>
            <m:sty m:val="p"/>
          </m:rPr>
          <m:t>=</m:t>
        </m:r>
        <m:f>
          <m:fPr>
            <m:type m:val="bar"/>
          </m:fPr>
          <m:num>
            <m:sSub>
              <m:e>
                <m:r>
                  <m:t>V</m:t>
                </m:r>
              </m:e>
              <m:sub>
                <m:r>
                  <m:rPr>
                    <m:sty m:val="p"/>
                  </m:rPr>
                  <m:t>D</m:t>
                </m:r>
                <m:r>
                  <m:rPr>
                    <m:sty m:val="p"/>
                  </m:rPr>
                  <m:t>D</m:t>
                </m:r>
              </m:sub>
            </m:sSub>
            <m:r>
              <m:rPr>
                <m:sty m:val="p"/>
              </m:rPr>
              <m:t>−</m:t>
            </m:r>
            <m:sSub>
              <m:e>
                <m:r>
                  <m:t>V</m:t>
                </m:r>
              </m:e>
              <m:sub>
                <m:r>
                  <m:rPr>
                    <m:sty m:val="p"/>
                  </m:rPr>
                  <m:t>O</m:t>
                </m:r>
                <m:r>
                  <m:rPr>
                    <m:sty m:val="p"/>
                  </m:rPr>
                  <m:t>L</m:t>
                </m:r>
              </m:sub>
            </m:sSub>
          </m:num>
          <m:den>
            <m:sSub>
              <m:e>
                <m:r>
                  <m:t>I</m:t>
                </m:r>
              </m:e>
              <m:sub>
                <m:r>
                  <m:rPr>
                    <m:sty m:val="p"/>
                  </m:rPr>
                  <m:t>O</m:t>
                </m:r>
                <m:r>
                  <m:rPr>
                    <m:sty m:val="p"/>
                  </m:rPr>
                  <m:t>L</m:t>
                </m:r>
              </m:sub>
            </m:sSub>
          </m:den>
        </m:f>
        <m:r>
          <m:rPr>
            <m:sty m:val="p"/>
          </m:rPr>
          <m:t>=</m:t>
        </m:r>
        <m:f>
          <m:fPr>
            <m:type m:val="bar"/>
          </m:fPr>
          <m:num>
            <m:r>
              <m:t>3</m:t>
            </m:r>
            <m:r>
              <m:rPr>
                <m:sty m:val="p"/>
              </m:rPr>
              <m:t>,</m:t>
            </m:r>
            <m:r>
              <m:t>3</m:t>
            </m:r>
            <m:r>
              <m:rPr>
                <m:sty m:val="p"/>
              </m:rPr>
              <m:t>−</m:t>
            </m:r>
            <m:r>
              <m:t>0</m:t>
            </m:r>
            <m:r>
              <m:rPr>
                <m:sty m:val="p"/>
              </m:rPr>
              <m:t>,</m:t>
            </m:r>
            <m:r>
              <m:t>4</m:t>
            </m:r>
          </m:num>
          <m:den>
            <m:r>
              <m:t>3</m:t>
            </m:r>
            <m:r>
              <m:t> </m:t>
            </m:r>
            <m:r>
              <m:rPr>
                <m:sty m:val="p"/>
              </m:rPr>
              <m:t>m</m:t>
            </m:r>
            <m:r>
              <m:rPr>
                <m:sty m:val="p"/>
              </m:rPr>
              <m:t>A</m:t>
            </m:r>
          </m:den>
        </m:f>
        <m:r>
          <m:rPr>
            <m:sty m:val="p"/>
          </m:rPr>
          <m:t>≈</m:t>
        </m:r>
        <m:r>
          <m:t>967</m:t>
        </m:r>
        <m:r>
          <m:t> </m:t>
        </m:r>
        <m:r>
          <m:t>Ω</m:t>
        </m:r>
      </m:oMath>
      <w:r>
        <w:rPr>
          <w:lang w:val="es-CL"/>
        </w:rPr>
        <w:tab/>
        <w:t>(9)</w:t>
      </w:r>
    </w:p>
    <w:p>
      <w:pPr>
        <w:pStyle w:val="Text"/>
      </w:pPr>
      <w:r>
        <w:rPr>
          <w:lang w:val="es-CL"/>
        </w:rPr>
        <w:t>Los 4,7 kΩ de los módulos quedan dentro del intervalo. Cada bus trabaja además con baja ocupación: el MAX30102 transfiere 100 × 6 B/s ≈ 5,4 kbit/s (≈ 6 % de 100 kbit/s) y el MPU6050 unas 50 transacciones de 9 bytes por segundo, ≈ 4 kbit/s (≈ 4 %). En el DS18B20, la conversión de 12 bits dura como máximo 750 ms, menos que el periodo de 1 s de la tarea; por eso cada ciclo lee la conversión anterior, ya terminada, y lanza la siguiente, sin esperar. Por último, la Tabla III estima el consumo con valores típicos de las hojas de datos. En el peor caso con Wi-Fi transmitiendo, el regulador disipa</w:t>
      </w:r>
    </w:p>
    <w:p>
      <w:pPr>
        <w:pStyle w:val="Equation"/>
        <w:tabs>
          <w:tab w:val="center" w:pos="2520"/>
          <w:tab w:val="right" w:pos="5040"/>
        </w:tabs>
        <w:spacing w:before="60" w:after="60"/>
      </w:pPr>
      <w:r>
        <w:tab/>
      </w:r>
      <m:oMath>
        <m:sSub>
          <m:e>
            <m:r>
              <m:t>P</m:t>
            </m:r>
          </m:e>
          <m:sub>
            <m:r>
              <m:rPr>
                <m:sty m:val="p"/>
              </m:rPr>
              <m:t>L</m:t>
            </m:r>
            <m:r>
              <m:rPr>
                <m:sty m:val="p"/>
              </m:rPr>
              <m:t>D</m:t>
            </m:r>
            <m:r>
              <m:rPr>
                <m:sty m:val="p"/>
              </m:rPr>
              <m:t>O</m:t>
            </m:r>
          </m:sub>
        </m:sSub>
        <m:r>
          <m:rPr>
            <m:sty m:val="p"/>
          </m:rPr>
          <m:t>=</m:t>
        </m:r>
        <m:d>
          <m:dPr>
            <m:begChr m:val="("/>
            <m:sepChr m:val=""/>
            <m:endChr m:val=")"/>
            <m:grow/>
          </m:dPr>
          <m:e>
            <m:sSub>
              <m:e>
                <m:r>
                  <m:t>V</m:t>
                </m:r>
              </m:e>
              <m:sub>
                <m:r>
                  <m:rPr>
                    <m:sty m:val="p"/>
                  </m:rPr>
                  <m:t>i</m:t>
                </m:r>
                <m:r>
                  <m:rPr>
                    <m:sty m:val="p"/>
                  </m:rPr>
                  <m:t>n</m:t>
                </m:r>
              </m:sub>
            </m:sSub>
            <m:r>
              <m:rPr>
                <m:sty m:val="p"/>
              </m:rPr>
              <m:t>−</m:t>
            </m:r>
            <m:sSub>
              <m:e>
                <m:r>
                  <m:t>V</m:t>
                </m:r>
              </m:e>
              <m:sub>
                <m:r>
                  <m:rPr>
                    <m:sty m:val="p"/>
                  </m:rPr>
                  <m:t>o</m:t>
                </m:r>
                <m:r>
                  <m:rPr>
                    <m:sty m:val="p"/>
                  </m:rPr>
                  <m:t>u</m:t>
                </m:r>
                <m:r>
                  <m:rPr>
                    <m:sty m:val="p"/>
                  </m:rPr>
                  <m:t>t</m:t>
                </m:r>
              </m:sub>
            </m:sSub>
          </m:e>
        </m:d>
        <m:sSub>
          <m:e>
            <m:r>
              <m:t>I</m:t>
            </m:r>
          </m:e>
          <m:sub>
            <m:r>
              <m:rPr>
                <m:sty m:val="p"/>
              </m:rPr>
              <m:t>t</m:t>
            </m:r>
            <m:r>
              <m:rPr>
                <m:sty m:val="p"/>
              </m:rPr>
              <m:t>o</m:t>
            </m:r>
            <m:r>
              <m:rPr>
                <m:sty m:val="p"/>
              </m:rPr>
              <m:t>t</m:t>
            </m:r>
          </m:sub>
        </m:sSub>
        <m:r>
          <m:rPr>
            <m:sty m:val="p"/>
          </m:rPr>
          <m:t>≈</m:t>
        </m:r>
        <m:r>
          <m:t>0</m:t>
        </m:r>
        <m:r>
          <m:rPr>
            <m:sty m:val="p"/>
          </m:rPr>
          <m:t>,</m:t>
        </m:r>
        <m:r>
          <m:t>54</m:t>
        </m:r>
        <m:r>
          <m:t> </m:t>
        </m:r>
        <m:r>
          <m:rPr>
            <m:sty m:val="p"/>
          </m:rPr>
          <m:t>W</m:t>
        </m:r>
      </m:oMath>
      <w:r>
        <w:rPr>
          <w:lang w:val="es-CL"/>
        </w:rPr>
        <w:tab/>
        <w:t>(10)</w:t>
      </w:r>
    </w:p>
    <w:p>
      <w:pPr>
        <w:pStyle w:val="Text"/>
      </w:pPr>
      <w:r>
        <w:rPr>
          <w:lang w:val="es-CL"/>
        </w:rPr>
        <w:t>con V</w:t>
      </w:r>
      <w:r>
        <w:rPr>
          <w:vertAlign w:val="subscript"/>
          <w:lang w:val="es-CL"/>
        </w:rPr>
        <w:t>in</w:t>
      </w:r>
      <w:r>
        <w:rPr>
          <w:lang w:val="es-CL"/>
        </w:rPr>
        <w:t xml:space="preserve"> − V</w:t>
      </w:r>
      <w:r>
        <w:rPr>
          <w:vertAlign w:val="subscript"/>
          <w:lang w:val="es-CL"/>
        </w:rPr>
        <w:t>out</w:t>
      </w:r>
      <w:r>
        <w:rPr>
          <w:lang w:val="es-CL"/>
        </w:rPr>
        <w:t xml:space="preserve"> = 1,7 V e I</w:t>
      </w:r>
      <w:r>
        <w:rPr>
          <w:vertAlign w:val="subscript"/>
          <w:lang w:val="es-CL"/>
        </w:rPr>
        <w:t>tot</w:t>
      </w:r>
      <w:r>
        <w:rPr>
          <w:lang w:val="es-CL"/>
        </w:rPr>
        <w:t xml:space="preserve"> ≈ 0,316 A, valores que la USB de 500 mA admite. </w:t>
      </w:r>
      <w:r>
        <w:rPr>
          <w:highlight w:val="yellow"/>
          <w:lang w:val="es-CL"/>
        </w:rPr>
        <w:t>Verificar el modelo del regulador de la placa y medir la corriente real con un multímetro en serie.</w:t>
      </w:r>
    </w:p>
    <w:p>
      <w:pPr>
        <w:pStyle w:val="TableTitle"/>
        <w:keepNext/>
        <w:spacing w:before="160"/>
      </w:pPr>
      <w:r>
        <w:rPr>
          <w:lang w:val="es-CL"/>
        </w:rPr>
        <w:t>TABLA III</w:t>
      </w:r>
    </w:p>
    <w:p>
      <w:pPr>
        <w:pStyle w:val="TableTitle"/>
        <w:keepNext/>
        <w:spacing w:after="60"/>
      </w:pPr>
      <w:r>
        <w:rPr>
          <w:lang w:val="es-CL"/>
        </w:rPr>
        <w:t>Estimación de consumo a 3,3 V</w:t>
      </w:r>
    </w:p>
    <w:tbl>
      <w:tblPr>
        <w:tblW w:w="5040" w:type="dxa"/>
        <w:jc w:val="center"/>
        <w:tblBorders>
          <w:top w:val="single" w:sz="8" w:space="0" w:color="000000"/>
          <w:left w:val="nil"/>
          <w:bottom w:val="single" w:sz="8" w:space="0" w:color="000000"/>
          <w:right w:val="nil"/>
          <w:insideH w:val="single" w:sz="2" w:space="0" w:color="999999"/>
          <w:insideV w:val="nil"/>
        </w:tblBorders>
        <w:tblLayout w:type="fixed"/>
        <w:tblCellMar>
          <w:left w:w="50" w:type="dxa"/>
          <w:right w:w="50" w:type="dxa"/>
        </w:tblCellMar>
        <w:tblLook w:firstColumn="1" w:firstRow="1" w:lastColumn="0" w:lastRow="0" w:noHBand="0" w:noVBand="1" w:val="04A0"/>
      </w:tblPr>
      <w:tblGrid>
        <w:gridCol w:w="2750"/>
        <w:gridCol w:w="1000"/>
        <w:gridCol w:w="1290"/>
      </w:tblGrid>
      <w:tr>
        <w:trPr>
          <w:cantSplit/>
          <w:tblHeader/>
        </w:trPr>
        <w:tc>
          <w:tcPr>
            <w:tcW w:type="dxa" w:w="2750"/>
            <w:tcBorders>
              <w:bottom w:val="single" w:sz="6" w:space="0" w:color="000000"/>
            </w:tcBorders>
          </w:tcPr>
          <w:p>
            <w:pPr>
              <w:spacing w:before="20" w:after="20"/>
              <w:jc w:val="left"/>
            </w:pPr>
            <w:r>
              <w:rPr>
                <w:b/>
                <w:sz w:val="15"/>
                <w:lang w:val="es-CL"/>
              </w:rPr>
              <w:t>Carga</w:t>
            </w:r>
          </w:p>
        </w:tc>
        <w:tc>
          <w:tcPr>
            <w:tcW w:type="dxa" w:w="1000"/>
            <w:tcBorders>
              <w:bottom w:val="single" w:sz="6" w:space="0" w:color="000000"/>
            </w:tcBorders>
          </w:tcPr>
          <w:p>
            <w:pPr>
              <w:spacing w:before="20" w:after="20"/>
              <w:jc w:val="left"/>
            </w:pPr>
            <w:r>
              <w:rPr>
                <w:b/>
                <w:sz w:val="15"/>
                <w:lang w:val="es-CL"/>
              </w:rPr>
              <w:t>Corriente</w:t>
            </w:r>
          </w:p>
        </w:tc>
        <w:tc>
          <w:tcPr>
            <w:tcW w:type="dxa" w:w="1290"/>
            <w:tcBorders>
              <w:bottom w:val="single" w:sz="6" w:space="0" w:color="000000"/>
            </w:tcBorders>
          </w:tcPr>
          <w:p>
            <w:pPr>
              <w:spacing w:before="20" w:after="20"/>
              <w:jc w:val="left"/>
            </w:pPr>
            <w:r>
              <w:rPr>
                <w:b/>
                <w:sz w:val="15"/>
                <w:lang w:val="es-CL"/>
              </w:rPr>
              <w:t>Base</w:t>
            </w:r>
          </w:p>
        </w:tc>
      </w:tr>
      <w:tr>
        <w:trPr>
          <w:cantSplit/>
        </w:trPr>
        <w:tc>
          <w:tcPr>
            <w:tcW w:type="dxa" w:w="2750"/>
          </w:tcPr>
          <w:p>
            <w:pPr>
              <w:spacing w:before="20" w:after="20"/>
              <w:jc w:val="left"/>
            </w:pPr>
            <w:r>
              <w:rPr>
                <w:sz w:val="15"/>
                <w:lang w:val="es-CL"/>
              </w:rPr>
              <w:t>ESP32 a 240 MHz, sin radio</w:t>
            </w:r>
          </w:p>
        </w:tc>
        <w:tc>
          <w:tcPr>
            <w:tcW w:type="dxa" w:w="1000"/>
          </w:tcPr>
          <w:p>
            <w:pPr>
              <w:spacing w:before="20" w:after="20"/>
              <w:jc w:val="left"/>
            </w:pPr>
            <w:r>
              <w:rPr>
                <w:sz w:val="15"/>
                <w:lang w:val="es-CL"/>
              </w:rPr>
              <w:t>68 mA</w:t>
            </w:r>
          </w:p>
        </w:tc>
        <w:tc>
          <w:tcPr>
            <w:tcW w:type="dxa" w:w="1290"/>
          </w:tcPr>
          <w:p>
            <w:pPr>
              <w:spacing w:before="20" w:after="20"/>
              <w:jc w:val="left"/>
            </w:pPr>
            <w:r>
              <w:rPr>
                <w:sz w:val="15"/>
                <w:lang w:val="es-CL"/>
              </w:rPr>
              <w:t>máx. [3]</w:t>
            </w:r>
          </w:p>
        </w:tc>
      </w:tr>
      <w:tr>
        <w:trPr>
          <w:cantSplit/>
        </w:trPr>
        <w:tc>
          <w:tcPr>
            <w:tcW w:type="dxa" w:w="2750"/>
          </w:tcPr>
          <w:p>
            <w:pPr>
              <w:spacing w:before="20" w:after="20"/>
              <w:jc w:val="left"/>
            </w:pPr>
            <w:r>
              <w:rPr>
                <w:sz w:val="15"/>
                <w:lang w:val="es-CL"/>
              </w:rPr>
              <w:t>MAX30102 (LEDs 6,2 mA, ciclo 0,164)</w:t>
            </w:r>
          </w:p>
        </w:tc>
        <w:tc>
          <w:tcPr>
            <w:tcW w:type="dxa" w:w="1000"/>
          </w:tcPr>
          <w:p>
            <w:pPr>
              <w:spacing w:before="20" w:after="20"/>
              <w:jc w:val="left"/>
            </w:pPr>
            <w:r>
              <w:rPr>
                <w:sz w:val="15"/>
                <w:lang w:val="es-CL"/>
              </w:rPr>
              <w:t>≈ 2,7 mA</w:t>
            </w:r>
          </w:p>
        </w:tc>
        <w:tc>
          <w:tcPr>
            <w:tcW w:type="dxa" w:w="1290"/>
          </w:tcPr>
          <w:p>
            <w:pPr>
              <w:spacing w:before="20" w:after="20"/>
              <w:jc w:val="left"/>
            </w:pPr>
            <w:r>
              <w:rPr>
                <w:sz w:val="15"/>
                <w:lang w:val="es-CL"/>
              </w:rPr>
              <w:t>[8]</w:t>
            </w:r>
          </w:p>
        </w:tc>
      </w:tr>
      <w:tr>
        <w:trPr>
          <w:cantSplit/>
        </w:trPr>
        <w:tc>
          <w:tcPr>
            <w:tcW w:type="dxa" w:w="2750"/>
          </w:tcPr>
          <w:p>
            <w:pPr>
              <w:spacing w:before="20" w:after="20"/>
              <w:jc w:val="left"/>
            </w:pPr>
            <w:r>
              <w:rPr>
                <w:sz w:val="15"/>
                <w:lang w:val="es-CL"/>
              </w:rPr>
              <w:t>MPU6050 (acelerómetro + giroscopio)</w:t>
            </w:r>
          </w:p>
        </w:tc>
        <w:tc>
          <w:tcPr>
            <w:tcW w:type="dxa" w:w="1000"/>
          </w:tcPr>
          <w:p>
            <w:pPr>
              <w:spacing w:before="20" w:after="20"/>
              <w:jc w:val="left"/>
            </w:pPr>
            <w:r>
              <w:rPr>
                <w:sz w:val="15"/>
                <w:lang w:val="es-CL"/>
              </w:rPr>
              <w:t>3,9 mA</w:t>
            </w:r>
          </w:p>
        </w:tc>
        <w:tc>
          <w:tcPr>
            <w:tcW w:type="dxa" w:w="1290"/>
          </w:tcPr>
          <w:p>
            <w:pPr>
              <w:spacing w:before="20" w:after="20"/>
              <w:jc w:val="left"/>
            </w:pPr>
            <w:r>
              <w:rPr>
                <w:sz w:val="15"/>
                <w:lang w:val="es-CL"/>
              </w:rPr>
              <w:t>[6]</w:t>
            </w:r>
          </w:p>
        </w:tc>
      </w:tr>
      <w:tr>
        <w:trPr>
          <w:cantSplit/>
        </w:trPr>
        <w:tc>
          <w:tcPr>
            <w:tcW w:type="dxa" w:w="2750"/>
          </w:tcPr>
          <w:p>
            <w:pPr>
              <w:spacing w:before="20" w:after="20"/>
              <w:jc w:val="left"/>
            </w:pPr>
            <w:r>
              <w:rPr>
                <w:sz w:val="15"/>
                <w:lang w:val="es-CL"/>
              </w:rPr>
              <w:t>DS18B20 en conversión</w:t>
            </w:r>
          </w:p>
        </w:tc>
        <w:tc>
          <w:tcPr>
            <w:tcW w:type="dxa" w:w="1000"/>
          </w:tcPr>
          <w:p>
            <w:pPr>
              <w:spacing w:before="20" w:after="20"/>
              <w:jc w:val="left"/>
            </w:pPr>
            <w:r>
              <w:rPr>
                <w:sz w:val="15"/>
                <w:lang w:val="es-CL"/>
              </w:rPr>
              <w:t>1,5 mA</w:t>
            </w:r>
          </w:p>
        </w:tc>
        <w:tc>
          <w:tcPr>
            <w:tcW w:type="dxa" w:w="1290"/>
          </w:tcPr>
          <w:p>
            <w:pPr>
              <w:spacing w:before="20" w:after="20"/>
              <w:jc w:val="left"/>
            </w:pPr>
            <w:r>
              <w:rPr>
                <w:sz w:val="15"/>
                <w:lang w:val="es-CL"/>
              </w:rPr>
              <w:t>máx. [11]</w:t>
            </w:r>
          </w:p>
        </w:tc>
      </w:tr>
      <w:tr>
        <w:trPr>
          <w:cantSplit/>
        </w:trPr>
        <w:tc>
          <w:tcPr>
            <w:tcW w:type="dxa" w:w="2750"/>
          </w:tcPr>
          <w:p>
            <w:pPr>
              <w:spacing w:before="20" w:after="20"/>
              <w:jc w:val="left"/>
            </w:pPr>
            <w:r>
              <w:rPr>
                <w:sz w:val="15"/>
                <w:lang w:val="es-CL"/>
              </w:rPr>
              <w:t>Módulo RC522</w:t>
            </w:r>
          </w:p>
        </w:tc>
        <w:tc>
          <w:tcPr>
            <w:tcW w:type="dxa" w:w="1000"/>
          </w:tcPr>
          <w:p>
            <w:pPr>
              <w:spacing w:before="20" w:after="20"/>
              <w:jc w:val="left"/>
            </w:pPr>
            <w:r>
              <w:rPr>
                <w:sz w:val="15"/>
                <w:lang w:val="es-CL"/>
              </w:rPr>
              <w:t>≈ 26 mA</w:t>
            </w:r>
          </w:p>
        </w:tc>
        <w:tc>
          <w:tcPr>
            <w:tcW w:type="dxa" w:w="1290"/>
          </w:tcPr>
          <w:p>
            <w:pPr>
              <w:spacing w:before="20" w:after="20"/>
              <w:jc w:val="left"/>
            </w:pPr>
            <w:r>
              <w:rPr>
                <w:sz w:val="15"/>
                <w:lang w:val="es-CL"/>
              </w:rPr>
              <w:t>módulo típico</w:t>
            </w:r>
          </w:p>
        </w:tc>
      </w:tr>
      <w:tr>
        <w:trPr>
          <w:cantSplit/>
        </w:trPr>
        <w:tc>
          <w:tcPr>
            <w:tcW w:type="dxa" w:w="2750"/>
          </w:tcPr>
          <w:p>
            <w:pPr>
              <w:spacing w:before="20" w:after="20"/>
              <w:jc w:val="left"/>
            </w:pPr>
            <w:r>
              <w:rPr>
                <w:sz w:val="15"/>
                <w:lang w:val="es-CL"/>
              </w:rPr>
              <w:t>2 LEDs + buzzer</w:t>
            </w:r>
          </w:p>
        </w:tc>
        <w:tc>
          <w:tcPr>
            <w:tcW w:type="dxa" w:w="1000"/>
          </w:tcPr>
          <w:p>
            <w:pPr>
              <w:spacing w:before="20" w:after="20"/>
              <w:jc w:val="left"/>
            </w:pPr>
            <w:r>
              <w:rPr>
                <w:sz w:val="15"/>
                <w:lang w:val="es-CL"/>
              </w:rPr>
              <w:t>≈ 42 mA</w:t>
            </w:r>
          </w:p>
        </w:tc>
        <w:tc>
          <w:tcPr>
            <w:tcW w:type="dxa" w:w="1290"/>
          </w:tcPr>
          <w:p>
            <w:pPr>
              <w:spacing w:before="20" w:after="20"/>
              <w:jc w:val="left"/>
            </w:pPr>
            <w:r>
              <w:rPr>
                <w:sz w:val="15"/>
                <w:lang w:val="es-CL"/>
              </w:rPr>
              <w:t>Ec. (6), (7)</w:t>
            </w:r>
          </w:p>
        </w:tc>
      </w:tr>
      <w:tr>
        <w:trPr>
          <w:cantSplit/>
        </w:trPr>
        <w:tc>
          <w:tcPr>
            <w:tcW w:type="dxa" w:w="2750"/>
          </w:tcPr>
          <w:p>
            <w:pPr>
              <w:spacing w:before="20" w:after="20"/>
              <w:jc w:val="left"/>
            </w:pPr>
            <w:r>
              <w:rPr>
                <w:sz w:val="15"/>
                <w:lang w:val="es-CL"/>
              </w:rPr>
              <w:t>Total sin Wi-Fi</w:t>
            </w:r>
          </w:p>
        </w:tc>
        <w:tc>
          <w:tcPr>
            <w:tcW w:type="dxa" w:w="1000"/>
          </w:tcPr>
          <w:p>
            <w:pPr>
              <w:spacing w:before="20" w:after="20"/>
              <w:jc w:val="left"/>
            </w:pPr>
            <w:r>
              <w:rPr>
                <w:sz w:val="15"/>
                <w:lang w:val="es-CL"/>
              </w:rPr>
              <w:t>≈ 144 mA</w:t>
            </w:r>
          </w:p>
        </w:tc>
        <w:tc>
          <w:tcPr>
            <w:tcW w:type="dxa" w:w="1290"/>
          </w:tcPr>
          <w:p>
            <w:pPr>
              <w:spacing w:before="20" w:after="20"/>
              <w:jc w:val="left"/>
            </w:pPr>
          </w:p>
        </w:tc>
      </w:tr>
      <w:tr>
        <w:trPr>
          <w:cantSplit/>
        </w:trPr>
        <w:tc>
          <w:tcPr>
            <w:tcW w:type="dxa" w:w="2750"/>
          </w:tcPr>
          <w:p>
            <w:pPr>
              <w:spacing w:before="20" w:after="20"/>
              <w:jc w:val="left"/>
            </w:pPr>
            <w:r>
              <w:rPr>
                <w:sz w:val="15"/>
                <w:lang w:val="es-CL"/>
              </w:rPr>
              <w:t>Total con Wi-Fi transmitiendo</w:t>
            </w:r>
          </w:p>
        </w:tc>
        <w:tc>
          <w:tcPr>
            <w:tcW w:type="dxa" w:w="1000"/>
          </w:tcPr>
          <w:p>
            <w:pPr>
              <w:spacing w:before="20" w:after="20"/>
              <w:jc w:val="left"/>
            </w:pPr>
            <w:r>
              <w:rPr>
                <w:sz w:val="15"/>
                <w:lang w:val="es-CL"/>
              </w:rPr>
              <w:t>≈ 316 mA</w:t>
            </w:r>
          </w:p>
        </w:tc>
        <w:tc>
          <w:tcPr>
            <w:tcW w:type="dxa" w:w="1290"/>
          </w:tcPr>
          <w:p>
            <w:pPr>
              <w:spacing w:before="20" w:after="20"/>
              <w:jc w:val="left"/>
            </w:pPr>
            <w:r>
              <w:rPr>
                <w:sz w:val="15"/>
                <w:lang w:val="es-CL"/>
              </w:rPr>
              <w:t>TX 240 mA [3]</w:t>
            </w:r>
          </w:p>
        </w:tc>
      </w:tr>
    </w:tbl>
    <w:p>
      <w:pPr>
        <w:spacing w:after="40"/>
      </w:pPr>
    </w:p>
    <w:p>
      <w:pPr>
        <w:keepNext/>
        <w:spacing w:before="240" w:after="80"/>
        <w:jc w:val="center"/>
      </w:pPr>
      <w:r>
        <w:rPr>
          <w:smallCaps/>
          <w:lang w:val="es-CL"/>
        </w:rPr>
        <w:t>REFERENCIAS</w:t>
      </w:r>
    </w:p>
    <w:p>
      <w:pPr>
        <w:numPr>
          <w:ilvl w:val="0"/>
          <w:numId w:val="1"/>
        </w:numPr>
        <w:spacing w:after="20"/>
        <w:ind w:left="400" w:hanging="400"/>
        <w:jc w:val="both"/>
        <w:rPr>
          <w:lang w:val="es-CL"/>
        </w:rPr>
      </w:pPr>
      <w:r>
        <w:rPr>
          <w:sz w:val="16"/>
          <w:lang w:val="en-US"/>
        </w:rPr>
        <w:t xml:space="preserve">X. X. Qian, Z. Chen, D. Y. T. Fong, M. Ho, and P. H. Chau, “Post-hospital falls incidence and risk factors among older adults: A systematic review and meta-analysis,” </w:t>
      </w:r>
      <w:r>
        <w:rPr>
          <w:i/>
          <w:sz w:val="16"/>
          <w:lang w:val="en-US"/>
        </w:rPr>
        <w:t>Age Ageing</w:t>
      </w:r>
      <w:r>
        <w:rPr>
          <w:sz w:val="16"/>
          <w:lang w:val="en-US"/>
        </w:rPr>
        <w:t>, vol. 51, no. 1, Jan. 2022, Art. no. afab209, doi: 10.1093/ageing/afab209.</w:t>
      </w:r>
    </w:p>
    <w:p>
      <w:pPr>
        <w:numPr>
          <w:ilvl w:val="0"/>
          <w:numId w:val="1"/>
        </w:numPr>
        <w:spacing w:after="20"/>
        <w:ind w:left="400" w:hanging="400"/>
        <w:jc w:val="both"/>
        <w:rPr>
          <w:lang w:val="es-CL"/>
        </w:rPr>
      </w:pPr>
      <w:r>
        <w:rPr>
          <w:sz w:val="16"/>
          <w:lang w:val="en-US"/>
        </w:rPr>
        <w:t xml:space="preserve">J. Kubitza, I. T. Schneider, and B. Reuschenbach, “Concept of the term long lie: A scoping review,” </w:t>
      </w:r>
      <w:r>
        <w:rPr>
          <w:i/>
          <w:sz w:val="16"/>
          <w:lang w:val="en-US"/>
        </w:rPr>
        <w:t>Eur. Rev. Aging Phys. Act.</w:t>
      </w:r>
      <w:r>
        <w:rPr>
          <w:sz w:val="16"/>
          <w:lang w:val="en-US"/>
        </w:rPr>
        <w:t>, vol. 20, no. 1, Aug. 2023, doi: 10.1186/s11556-023-00326-3.</w:t>
      </w:r>
    </w:p>
    <w:p>
      <w:pPr>
        <w:numPr>
          <w:ilvl w:val="0"/>
          <w:numId w:val="1"/>
        </w:numPr>
        <w:spacing w:after="20"/>
        <w:ind w:left="400" w:hanging="400"/>
        <w:jc w:val="both"/>
        <w:rPr>
          <w:lang w:val="es-CL"/>
        </w:rPr>
      </w:pPr>
      <w:r>
        <w:rPr>
          <w:sz w:val="16"/>
          <w:lang w:val="en-US"/>
        </w:rPr>
        <w:t>Espressif Systems, “ESP32 series datasheet,” Shanghai, China. [Online]. Available: https://www.espressif.com/sites/default/files/documentation/esp32_datasheet_en.pdf</w:t>
      </w:r>
    </w:p>
    <w:p>
      <w:pPr>
        <w:numPr>
          <w:ilvl w:val="0"/>
          <w:numId w:val="1"/>
        </w:numPr>
        <w:spacing w:after="20"/>
        <w:ind w:left="400" w:hanging="400"/>
        <w:jc w:val="both"/>
        <w:rPr>
          <w:lang w:val="es-CL"/>
        </w:rPr>
      </w:pPr>
      <w:r>
        <w:rPr>
          <w:sz w:val="16"/>
          <w:lang w:val="en-US"/>
        </w:rPr>
        <w:t>M. Jones, J. Bradley, and N. Sakimura, “JSON Web Token (JWT),” Internet Engineering Task Force, RFC 7519, May 2015. [Online]. Available: https://www.rfc-editor.org/rfc/rfc7519</w:t>
      </w:r>
    </w:p>
    <w:p>
      <w:pPr>
        <w:numPr>
          <w:ilvl w:val="0"/>
          <w:numId w:val="1"/>
        </w:numPr>
        <w:spacing w:after="20"/>
        <w:ind w:left="400" w:hanging="400"/>
        <w:jc w:val="both"/>
        <w:rPr>
          <w:lang w:val="es-CL"/>
        </w:rPr>
      </w:pPr>
      <w:r>
        <w:rPr>
          <w:sz w:val="16"/>
          <w:lang w:val="en-US"/>
        </w:rPr>
        <w:t xml:space="preserve">S. N. Moutsis, K. A. Tsintotas, and A. Gasteratos, “PIPTO: Precise inertial-based pipeline for threshold-based fall detection using three-axis accelerometers,” </w:t>
      </w:r>
      <w:r>
        <w:rPr>
          <w:i/>
          <w:sz w:val="16"/>
          <w:lang w:val="en-US"/>
        </w:rPr>
        <w:t>Sensors</w:t>
      </w:r>
      <w:r>
        <w:rPr>
          <w:sz w:val="16"/>
          <w:lang w:val="en-US"/>
        </w:rPr>
        <w:t>, vol. 23, no. 18, Sep. 2023, Art. no. 7951, doi: 10.3390/s23187951.</w:t>
      </w:r>
    </w:p>
    <w:p>
      <w:pPr>
        <w:numPr>
          <w:ilvl w:val="0"/>
          <w:numId w:val="1"/>
        </w:numPr>
        <w:spacing w:after="20"/>
        <w:ind w:left="400" w:hanging="400"/>
        <w:jc w:val="both"/>
        <w:rPr>
          <w:lang w:val="es-CL"/>
        </w:rPr>
      </w:pPr>
      <w:r>
        <w:rPr>
          <w:sz w:val="16"/>
          <w:lang w:val="en-US"/>
        </w:rPr>
        <w:t>InvenSense Inc., “MPU-6000 and MPU-6050 product specification,” Doc. PS-MPU-6000A-00, Rev. 3.4, Aug. 2013.</w:t>
      </w:r>
    </w:p>
    <w:p>
      <w:pPr>
        <w:numPr>
          <w:ilvl w:val="0"/>
          <w:numId w:val="1"/>
        </w:numPr>
        <w:spacing w:after="20"/>
        <w:ind w:left="400" w:hanging="400"/>
        <w:jc w:val="both"/>
        <w:rPr>
          <w:lang w:val="es-CL"/>
        </w:rPr>
      </w:pPr>
      <w:r>
        <w:rPr>
          <w:sz w:val="16"/>
          <w:lang w:val="en-US"/>
        </w:rPr>
        <w:t>InvenSense Inc., “MPU-6000 and MPU-6050 register map and descriptions,” Doc. RM-MPU-6000A-00, Rev. 4.2, Aug. 2013.</w:t>
      </w:r>
    </w:p>
    <w:p>
      <w:pPr>
        <w:numPr>
          <w:ilvl w:val="0"/>
          <w:numId w:val="1"/>
        </w:numPr>
        <w:spacing w:after="20"/>
        <w:ind w:left="400" w:hanging="400"/>
        <w:jc w:val="both"/>
        <w:rPr>
          <w:lang w:val="es-CL"/>
        </w:rPr>
      </w:pPr>
      <w:r>
        <w:rPr>
          <w:sz w:val="16"/>
          <w:lang w:val="en-US"/>
        </w:rPr>
        <w:t>Maxim Integrated, “MAX30102: High-sensitivity pulse oximeter and heart-rate sensor for wearable health,” datasheet, Rev. 1, Oct. 2018.</w:t>
      </w:r>
    </w:p>
    <w:p>
      <w:pPr>
        <w:numPr>
          <w:ilvl w:val="0"/>
          <w:numId w:val="1"/>
        </w:numPr>
        <w:spacing w:after="20"/>
        <w:ind w:left="400" w:hanging="400"/>
        <w:jc w:val="both"/>
        <w:rPr>
          <w:lang w:val="es-CL"/>
        </w:rPr>
      </w:pPr>
      <w:r>
        <w:rPr>
          <w:sz w:val="16"/>
          <w:lang w:val="en-US"/>
        </w:rPr>
        <w:t xml:space="preserve">A. Naranjo Rojas and F. Cruz Mosquera, “Advances and challenges associated with low-cost pulse oximeters in home care programs: A review,” </w:t>
      </w:r>
      <w:r>
        <w:rPr>
          <w:i/>
          <w:sz w:val="16"/>
          <w:lang w:val="en-US"/>
        </w:rPr>
        <w:t>Sensors</w:t>
      </w:r>
      <w:r>
        <w:rPr>
          <w:sz w:val="16"/>
          <w:lang w:val="en-US"/>
        </w:rPr>
        <w:t>, vol. 24, no. 19, Sep. 2024, Art. no. 6284, doi: 10.3390/s24196284.</w:t>
      </w:r>
    </w:p>
    <w:p>
      <w:pPr>
        <w:numPr>
          <w:ilvl w:val="0"/>
          <w:numId w:val="1"/>
        </w:numPr>
        <w:spacing w:after="20"/>
        <w:ind w:left="400" w:hanging="400"/>
        <w:jc w:val="both"/>
        <w:rPr>
          <w:lang w:val="es-CL"/>
        </w:rPr>
      </w:pPr>
      <w:r>
        <w:rPr>
          <w:i/>
          <w:sz w:val="16"/>
          <w:lang w:val="en-US"/>
        </w:rPr>
        <w:t>Medical Electrical Equipment—Part 2-61: Particular Requirements for Basic Safety and Essential Performance of Pulse Oximeter Equipment</w:t>
      </w:r>
      <w:r>
        <w:rPr>
          <w:sz w:val="16"/>
          <w:lang w:val="en-US"/>
        </w:rPr>
        <w:t>, ISO 80601-2-61:2017, 2017.</w:t>
      </w:r>
    </w:p>
    <w:p>
      <w:pPr>
        <w:numPr>
          <w:ilvl w:val="0"/>
          <w:numId w:val="1"/>
        </w:numPr>
        <w:spacing w:after="20"/>
        <w:ind w:left="400" w:hanging="400"/>
        <w:jc w:val="both"/>
        <w:rPr>
          <w:lang w:val="es-CL"/>
        </w:rPr>
      </w:pPr>
      <w:r>
        <w:rPr>
          <w:sz w:val="16"/>
          <w:lang w:val="en-US"/>
        </w:rPr>
        <w:t>Maxim Integrated, “DS18B20 programmable resolution 1-Wire digital thermometer,” datasheet, Rev. 6, Jul. 2019.</w:t>
      </w:r>
    </w:p>
    <w:p>
      <w:pPr>
        <w:numPr>
          <w:ilvl w:val="0"/>
          <w:numId w:val="1"/>
        </w:numPr>
        <w:spacing w:after="20"/>
        <w:ind w:left="400" w:hanging="400"/>
        <w:jc w:val="both"/>
        <w:rPr>
          <w:lang w:val="es-CL"/>
        </w:rPr>
      </w:pPr>
      <w:r>
        <w:rPr>
          <w:sz w:val="16"/>
          <w:lang w:val="en-US"/>
        </w:rPr>
        <w:t xml:space="preserve">A. Eisenkraft </w:t>
      </w:r>
      <w:r>
        <w:rPr>
          <w:i/>
          <w:sz w:val="16"/>
          <w:lang w:val="en-US"/>
        </w:rPr>
        <w:t>et al.</w:t>
      </w:r>
      <w:r>
        <w:rPr>
          <w:sz w:val="16"/>
          <w:lang w:val="en-US"/>
        </w:rPr>
        <w:t xml:space="preserve">, “Comparing body temperature measurements using the double sensor method within a wearable device with oral and core body temperature measurements using medical grade thermometers: A short report,” </w:t>
      </w:r>
      <w:r>
        <w:rPr>
          <w:i/>
          <w:sz w:val="16"/>
          <w:lang w:val="en-US"/>
        </w:rPr>
        <w:t>Front. Physiol.</w:t>
      </w:r>
      <w:r>
        <w:rPr>
          <w:sz w:val="16"/>
          <w:lang w:val="en-US"/>
        </w:rPr>
        <w:t>, vol. 14, Nov. 2023, Art. no. 1279314, doi: 10.3389/fphys.2023.1279314.</w:t>
      </w:r>
    </w:p>
    <w:p>
      <w:pPr>
        <w:numPr>
          <w:ilvl w:val="0"/>
          <w:numId w:val="1"/>
        </w:numPr>
        <w:spacing w:after="20"/>
        <w:ind w:left="400" w:hanging="400"/>
        <w:jc w:val="both"/>
        <w:rPr>
          <w:lang w:val="es-CL"/>
        </w:rPr>
      </w:pPr>
      <w:r>
        <w:rPr>
          <w:sz w:val="16"/>
          <w:lang w:val="en-US"/>
        </w:rPr>
        <w:t>NXP Semiconductors, “MFRC522 standard performance MIFARE and NTAG frontend,” product data sheet, Rev. 3.9, Apr. 2016.</w:t>
      </w:r>
    </w:p>
    <w:p>
      <w:pPr>
        <w:numPr>
          <w:ilvl w:val="0"/>
          <w:numId w:val="1"/>
        </w:numPr>
        <w:spacing w:after="20"/>
        <w:ind w:left="400" w:hanging="400"/>
        <w:jc w:val="both"/>
        <w:rPr>
          <w:lang w:val="es-CL"/>
        </w:rPr>
      </w:pPr>
      <w:r>
        <w:rPr>
          <w:sz w:val="16"/>
          <w:lang w:val="en-US"/>
        </w:rPr>
        <w:t xml:space="preserve">Espressif Systems, “FreeRTOS (IDF),” in </w:t>
      </w:r>
      <w:r>
        <w:rPr>
          <w:i/>
          <w:sz w:val="16"/>
          <w:lang w:val="en-US"/>
        </w:rPr>
        <w:t>ESP-IDF Programming Guide</w:t>
      </w:r>
      <w:r>
        <w:rPr>
          <w:sz w:val="16"/>
          <w:lang w:val="en-US"/>
        </w:rPr>
        <w:t>. [Online]. Available: https://docs.espressif.com/projects/esp-idf/en/stable/esp32/api-reference/system/freertos_idf.html</w:t>
      </w:r>
    </w:p>
    <w:p>
      <w:pPr>
        <w:numPr>
          <w:ilvl w:val="0"/>
          <w:numId w:val="1"/>
        </w:numPr>
        <w:spacing w:after="20"/>
        <w:ind w:left="400" w:hanging="400"/>
        <w:jc w:val="both"/>
        <w:rPr>
          <w:lang w:val="es-CL"/>
        </w:rPr>
      </w:pPr>
      <w:r>
        <w:rPr>
          <w:sz w:val="16"/>
          <w:lang w:val="en-US"/>
        </w:rPr>
        <w:t xml:space="preserve">A. Bucko, K. Vishi, B. Krasniqi, and B. Rexha, “Enhancing JWT authentication and authorization in web applications based on user behavior history,” </w:t>
      </w:r>
      <w:r>
        <w:rPr>
          <w:i/>
          <w:sz w:val="16"/>
          <w:lang w:val="en-US"/>
        </w:rPr>
        <w:t>Computers</w:t>
      </w:r>
      <w:r>
        <w:rPr>
          <w:sz w:val="16"/>
          <w:lang w:val="en-US"/>
        </w:rPr>
        <w:t>, vol. 12, no. 4, Apr. 2023, Art. no. 78, doi: 10.3390/computers12040078.</w:t>
      </w:r>
    </w:p>
    <w:p>
      <w:pPr>
        <w:numPr>
          <w:ilvl w:val="0"/>
          <w:numId w:val="1"/>
        </w:numPr>
        <w:spacing w:after="20"/>
        <w:ind w:left="400" w:hanging="400"/>
        <w:jc w:val="both"/>
        <w:rPr>
          <w:lang w:val="es-CL"/>
        </w:rPr>
      </w:pPr>
      <w:r>
        <w:rPr>
          <w:sz w:val="16"/>
          <w:lang w:val="en-US"/>
        </w:rPr>
        <w:t xml:space="preserve">M. E. Karar, H. I. Shehata, and O. Reyad, “A survey of IoT-based fall detection for aiding elderly care: Sensors, methods, challenges and future trends,” </w:t>
      </w:r>
      <w:r>
        <w:rPr>
          <w:i/>
          <w:sz w:val="16"/>
          <w:lang w:val="en-US"/>
        </w:rPr>
        <w:t>Appl. Sci.</w:t>
      </w:r>
      <w:r>
        <w:rPr>
          <w:sz w:val="16"/>
          <w:lang w:val="en-US"/>
        </w:rPr>
        <w:t>, vol. 12, no. 7, Mar. 2022, Art. no. 3276, doi: 10.3390/app12073276.</w:t>
      </w:r>
    </w:p>
    <w:p>
      <w:pPr>
        <w:numPr>
          <w:ilvl w:val="0"/>
          <w:numId w:val="1"/>
        </w:numPr>
        <w:spacing w:after="20"/>
        <w:ind w:left="400" w:hanging="400"/>
        <w:jc w:val="both"/>
        <w:rPr>
          <w:lang w:val="es-CL"/>
        </w:rPr>
      </w:pPr>
      <w:r>
        <w:rPr>
          <w:sz w:val="16"/>
          <w:lang w:val="en-US"/>
        </w:rPr>
        <w:t xml:space="preserve">M. Chen, H. Wang, L. Yu, E. H. K. Yeung, J. Luo, K.-L. Tsui, and Y. Zhao, “A systematic review of wearable sensor-based technologies for fall risk assessment in older adults,” </w:t>
      </w:r>
      <w:r>
        <w:rPr>
          <w:i/>
          <w:sz w:val="16"/>
          <w:lang w:val="en-US"/>
        </w:rPr>
        <w:t>Sensors</w:t>
      </w:r>
      <w:r>
        <w:rPr>
          <w:sz w:val="16"/>
          <w:lang w:val="en-US"/>
        </w:rPr>
        <w:t>, vol. 22, no. 18, Sep. 2022, Art. no. 6752, doi: 10.3390/s22186752.</w:t>
      </w:r>
    </w:p>
    <w:p>
      <w:pPr>
        <w:numPr>
          <w:ilvl w:val="0"/>
          <w:numId w:val="1"/>
        </w:numPr>
        <w:spacing w:after="20"/>
        <w:ind w:left="400" w:hanging="400"/>
        <w:jc w:val="both"/>
        <w:rPr>
          <w:lang w:val="es-CL"/>
        </w:rPr>
      </w:pPr>
      <w:r>
        <w:rPr>
          <w:sz w:val="16"/>
          <w:lang w:val="en-US"/>
        </w:rPr>
        <w:t xml:space="preserve">S. Ahmed, S. Irfan, N. Kiran, N. Masood, N. Anjum, and N. Ramzan, “Remote health monitoring systems for elderly people: A survey,” </w:t>
      </w:r>
      <w:r>
        <w:rPr>
          <w:i/>
          <w:sz w:val="16"/>
          <w:lang w:val="en-US"/>
        </w:rPr>
        <w:t>Sensors</w:t>
      </w:r>
      <w:r>
        <w:rPr>
          <w:sz w:val="16"/>
          <w:lang w:val="en-US"/>
        </w:rPr>
        <w:t>, vol. 23, no. 16, Aug. 2023, Art. no. 7095, doi: 10.3390/s23167095.</w:t>
      </w:r>
    </w:p>
    <w:p>
      <w:pPr>
        <w:numPr>
          <w:ilvl w:val="0"/>
          <w:numId w:val="1"/>
        </w:numPr>
        <w:spacing w:after="20"/>
        <w:ind w:left="400" w:hanging="400"/>
        <w:jc w:val="both"/>
        <w:rPr>
          <w:lang w:val="es-CL"/>
        </w:rPr>
      </w:pPr>
      <w:r>
        <w:rPr>
          <w:sz w:val="16"/>
          <w:lang w:val="en-US"/>
        </w:rPr>
        <w:t xml:space="preserve">S. Ashraf, S. P. Khattak, and M. T. Iqbal, “Design and implementation of an open-source and Internet-of-Things-based health monitoring system,” </w:t>
      </w:r>
      <w:r>
        <w:rPr>
          <w:i/>
          <w:sz w:val="16"/>
          <w:lang w:val="en-US"/>
        </w:rPr>
        <w:t>J. Low Power Electron. Appl.</w:t>
      </w:r>
      <w:r>
        <w:rPr>
          <w:sz w:val="16"/>
          <w:lang w:val="en-US"/>
        </w:rPr>
        <w:t>, vol. 13, no. 4, Oct. 2023, Art. no. 57, doi: 10.3390/jlpea13040057.</w:t>
      </w:r>
    </w:p>
    <w:p>
      <w:pPr>
        <w:numPr>
          <w:ilvl w:val="0"/>
          <w:numId w:val="1"/>
        </w:numPr>
        <w:spacing w:after="20"/>
        <w:ind w:left="400" w:hanging="400"/>
        <w:jc w:val="both"/>
        <w:rPr>
          <w:lang w:val="es-CL"/>
        </w:rPr>
      </w:pPr>
      <w:r>
        <w:rPr>
          <w:sz w:val="16"/>
          <w:lang w:val="en-US"/>
        </w:rPr>
        <w:t xml:space="preserve">N. Zahradka, S. Geoghan, H. Watson, E. Goldberg, A. Wolfberg, and M. Wilkes, “Assessment of remote vital sign monitoring and alarms in a real-world healthcare at home dataset,” </w:t>
      </w:r>
      <w:r>
        <w:rPr>
          <w:i/>
          <w:sz w:val="16"/>
          <w:lang w:val="en-US"/>
        </w:rPr>
        <w:t>Bioengineering</w:t>
      </w:r>
      <w:r>
        <w:rPr>
          <w:sz w:val="16"/>
          <w:lang w:val="en-US"/>
        </w:rPr>
        <w:t>, vol. 10, no. 1, Jan. 2023, Art. no. 37, doi: 10.3390/bioengineering10010037.</w:t>
      </w:r>
    </w:p>
    <w:p>
      <w:pPr>
        <w:numPr>
          <w:ilvl w:val="0"/>
          <w:numId w:val="1"/>
        </w:numPr>
        <w:spacing w:after="20"/>
        <w:ind w:left="400" w:hanging="400"/>
        <w:jc w:val="both"/>
        <w:rPr>
          <w:lang w:val="es-CL"/>
        </w:rPr>
      </w:pPr>
      <w:r>
        <w:rPr>
          <w:sz w:val="16"/>
          <w:lang w:val="en-US"/>
        </w:rPr>
        <w:t xml:space="preserve">P. H. Charlton </w:t>
      </w:r>
      <w:r>
        <w:rPr>
          <w:i/>
          <w:sz w:val="16"/>
          <w:lang w:val="en-US"/>
        </w:rPr>
        <w:t>et al.</w:t>
      </w:r>
      <w:r>
        <w:rPr>
          <w:sz w:val="16"/>
          <w:lang w:val="en-US"/>
        </w:rPr>
        <w:t xml:space="preserve">, “The 2023 wearable photoplethysmography roadmap,” </w:t>
      </w:r>
      <w:r>
        <w:rPr>
          <w:i/>
          <w:sz w:val="16"/>
          <w:lang w:val="en-US"/>
        </w:rPr>
        <w:t>Physiol. Meas.</w:t>
      </w:r>
      <w:r>
        <w:rPr>
          <w:sz w:val="16"/>
          <w:lang w:val="en-US"/>
        </w:rPr>
        <w:t>, vol. 44, no. 11, Nov. 2023, Art. no. 111001, doi: 10.1088/1361-6579/acead2.</w:t>
      </w:r>
    </w:p>
    <w:p>
      <w:pPr>
        <w:numPr>
          <w:ilvl w:val="0"/>
          <w:numId w:val="1"/>
        </w:numPr>
        <w:spacing w:after="20"/>
        <w:ind w:left="400" w:hanging="400"/>
        <w:jc w:val="both"/>
        <w:rPr>
          <w:lang w:val="es-CL"/>
        </w:rPr>
      </w:pPr>
      <w:r>
        <w:rPr>
          <w:sz w:val="16"/>
          <w:lang w:val="en-US"/>
        </w:rPr>
        <w:t>NXP Semiconductors, “I²C-bus specification and user manual,” UM10204, Rev. 7.0, Oct. 2021.</w:t>
      </w:r>
    </w:p>
    <w:sectPr w:rsidR="00DA5A9A" w:rsidRPr="0073161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0EE64" w14:textId="77777777" w:rsidR="00A73A77" w:rsidRDefault="00A73A77">
      <w:r>
        <w:separator/>
      </w:r>
    </w:p>
  </w:endnote>
  <w:endnote w:type="continuationSeparator" w:id="0">
    <w:p w14:paraId="545D0286" w14:textId="77777777" w:rsidR="00A73A77" w:rsidRDefault="00A73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59B40" w14:textId="77777777" w:rsidR="00A73A77" w:rsidRPr="009A0AA6" w:rsidRDefault="00A73A77" w:rsidP="009A0AA6">
      <w:pPr>
        <w:pStyle w:val="Piedepgina"/>
      </w:pPr>
    </w:p>
  </w:footnote>
  <w:footnote w:type="continuationSeparator" w:id="0">
    <w:p w14:paraId="47159D6E" w14:textId="77777777" w:rsidR="00A73A77" w:rsidRDefault="00A73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Pr="004D4BD2" w:rsidRDefault="000F2C11">
    <w:pPr>
      <w:jc w:val="right"/>
      <w:rPr>
        <w:lang w:val="es-CL"/>
      </w:rPr>
    </w:pPr>
    <w:r>
      <w:fldChar w:fldCharType="begin"/>
    </w:r>
    <w:r w:rsidRPr="004D4BD2">
      <w:rPr>
        <w:lang w:val="es-CL"/>
      </w:rPr>
      <w:instrText>PAGE</w:instrText>
    </w:r>
    <w:r>
      <w:fldChar w:fldCharType="separate"/>
    </w:r>
    <w:r w:rsidR="005A170E" w:rsidRPr="004D4BD2">
      <w:rPr>
        <w:noProof/>
        <w:lang w:val="es-CL"/>
      </w:rPr>
      <w:t>3</w:t>
    </w:r>
    <w:r>
      <w:fldChar w:fldCharType="end"/>
    </w:r>
  </w:p>
  <w:p w14:paraId="46E0BAAB" w14:textId="33BC36DA" w:rsidR="00732E46" w:rsidRPr="004D4BD2" w:rsidRDefault="009A6C21" w:rsidP="002748F2">
    <w:pPr>
      <w:ind w:right="360"/>
      <w:jc w:val="center"/>
      <w:rPr>
        <w:lang w:val="es-CL"/>
      </w:rPr>
    </w:pPr>
    <w:r>
      <w:rPr>
        <w:lang w:val="es-CL"/>
      </w:rPr>
      <w:t xml:space="preserve">Laboratorio de </w:t>
    </w:r>
    <w:r w:rsidR="002748F2">
      <w:rPr>
        <w:lang w:val="es-CL"/>
      </w:rPr>
      <w:t>Electromedicina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0D9C51A4"/>
    <w:multiLevelType w:val="hybridMultilevel"/>
    <w:tmpl w:val="FC027D5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F314AD5"/>
    <w:multiLevelType w:val="hybridMultilevel"/>
    <w:tmpl w:val="FC027D5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0A4B7F"/>
    <w:multiLevelType w:val="hybridMultilevel"/>
    <w:tmpl w:val="FC027D5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9D3875"/>
    <w:multiLevelType w:val="hybridMultilevel"/>
    <w:tmpl w:val="FC027D5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9832CD"/>
    <w:multiLevelType w:val="hybridMultilevel"/>
    <w:tmpl w:val="FC027D5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A67575"/>
    <w:multiLevelType w:val="hybridMultilevel"/>
    <w:tmpl w:val="EE189996"/>
    <w:lvl w:ilvl="0" w:tplc="FF6A3D02">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37527330"/>
    <w:multiLevelType w:val="hybridMultilevel"/>
    <w:tmpl w:val="FC027D56"/>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E17A75"/>
    <w:multiLevelType w:val="hybridMultilevel"/>
    <w:tmpl w:val="A956BF96"/>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DE36D66"/>
    <w:multiLevelType w:val="hybridMultilevel"/>
    <w:tmpl w:val="1974CCB4"/>
    <w:lvl w:ilvl="0" w:tplc="BB52C644">
      <w:start w:val="1"/>
      <w:numFmt w:val="upperRoman"/>
      <w:pStyle w:val="Ttulo1"/>
      <w:lvlText w:val="%1."/>
      <w:lvlJc w:val="center"/>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5"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59A598B"/>
    <w:multiLevelType w:val="hybridMultilevel"/>
    <w:tmpl w:val="FC027D56"/>
    <w:lvl w:ilvl="0" w:tplc="340A0015">
      <w:start w:val="1"/>
      <w:numFmt w:val="upp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2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937CD"/>
    <w:multiLevelType w:val="hybridMultilevel"/>
    <w:tmpl w:val="327646A0"/>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85E5E88"/>
    <w:multiLevelType w:val="hybridMultilevel"/>
    <w:tmpl w:val="A8C2A0AE"/>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C55D5"/>
    <w:multiLevelType w:val="hybridMultilevel"/>
    <w:tmpl w:val="FC027D5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326DC8"/>
    <w:multiLevelType w:val="hybridMultilevel"/>
    <w:tmpl w:val="FC027D5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C25C0A"/>
    <w:multiLevelType w:val="hybridMultilevel"/>
    <w:tmpl w:val="639CEE62"/>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69687AF5"/>
    <w:multiLevelType w:val="hybridMultilevel"/>
    <w:tmpl w:val="3766B3B4"/>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8" w15:restartNumberingAfterBreak="0">
    <w:nsid w:val="736127A2"/>
    <w:multiLevelType w:val="hybridMultilevel"/>
    <w:tmpl w:val="06507234"/>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9" w15:restartNumberingAfterBreak="0">
    <w:nsid w:val="77E67257"/>
    <w:multiLevelType w:val="hybridMultilevel"/>
    <w:tmpl w:val="327646A0"/>
    <w:lvl w:ilvl="0" w:tplc="340A0015">
      <w:start w:val="2"/>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DB26112"/>
    <w:multiLevelType w:val="hybridMultilevel"/>
    <w:tmpl w:val="FC027D5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4474254">
    <w:abstractNumId w:val="19"/>
  </w:num>
  <w:num w:numId="2" w16cid:durableId="1182279118">
    <w:abstractNumId w:val="3"/>
  </w:num>
  <w:num w:numId="3" w16cid:durableId="83192768">
    <w:abstractNumId w:val="1"/>
  </w:num>
  <w:num w:numId="4" w16cid:durableId="1311791867">
    <w:abstractNumId w:val="18"/>
  </w:num>
  <w:num w:numId="5" w16cid:durableId="171183208">
    <w:abstractNumId w:val="14"/>
  </w:num>
  <w:num w:numId="6" w16cid:durableId="1268463963">
    <w:abstractNumId w:val="15"/>
  </w:num>
  <w:num w:numId="7" w16cid:durableId="4393726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10"/>
  </w:num>
  <w:num w:numId="9" w16cid:durableId="1950312838">
    <w:abstractNumId w:val="4"/>
  </w:num>
  <w:num w:numId="10" w16cid:durableId="881602541">
    <w:abstractNumId w:val="17"/>
  </w:num>
  <w:num w:numId="11" w16cid:durableId="830146748">
    <w:abstractNumId w:val="0"/>
  </w:num>
  <w:num w:numId="12" w16cid:durableId="947540831">
    <w:abstractNumId w:val="23"/>
  </w:num>
  <w:num w:numId="13" w16cid:durableId="1525364928">
    <w:abstractNumId w:val="20"/>
  </w:num>
  <w:num w:numId="14" w16cid:durableId="1903372866">
    <w:abstractNumId w:val="13"/>
  </w:num>
  <w:num w:numId="15" w16cid:durableId="264114941">
    <w:abstractNumId w:val="26"/>
  </w:num>
  <w:num w:numId="16" w16cid:durableId="352877819">
    <w:abstractNumId w:val="16"/>
  </w:num>
  <w:num w:numId="17" w16cid:durableId="135077331">
    <w:abstractNumId w:val="24"/>
  </w:num>
  <w:num w:numId="18" w16cid:durableId="1494221251">
    <w:abstractNumId w:val="25"/>
  </w:num>
  <w:num w:numId="19" w16cid:durableId="1046639766">
    <w:abstractNumId w:val="30"/>
  </w:num>
  <w:num w:numId="20" w16cid:durableId="1246962563">
    <w:abstractNumId w:val="11"/>
  </w:num>
  <w:num w:numId="21" w16cid:durableId="636451359">
    <w:abstractNumId w:val="12"/>
  </w:num>
  <w:num w:numId="22" w16cid:durableId="81151919">
    <w:abstractNumId w:val="5"/>
  </w:num>
  <w:num w:numId="23" w16cid:durableId="2104253069">
    <w:abstractNumId w:val="29"/>
  </w:num>
  <w:num w:numId="24" w16cid:durableId="1661230191">
    <w:abstractNumId w:val="21"/>
  </w:num>
  <w:num w:numId="25" w16cid:durableId="250898967">
    <w:abstractNumId w:val="7"/>
  </w:num>
  <w:num w:numId="26" w16cid:durableId="22289851">
    <w:abstractNumId w:val="6"/>
  </w:num>
  <w:num w:numId="27" w16cid:durableId="1454246522">
    <w:abstractNumId w:val="2"/>
  </w:num>
  <w:num w:numId="28" w16cid:durableId="651495004">
    <w:abstractNumId w:val="8"/>
  </w:num>
  <w:num w:numId="29" w16cid:durableId="882905012">
    <w:abstractNumId w:val="13"/>
  </w:num>
  <w:num w:numId="30" w16cid:durableId="1222599653">
    <w:abstractNumId w:val="13"/>
  </w:num>
  <w:num w:numId="31" w16cid:durableId="1664776105">
    <w:abstractNumId w:val="22"/>
  </w:num>
  <w:num w:numId="32" w16cid:durableId="277152590">
    <w:abstractNumId w:val="9"/>
  </w:num>
  <w:num w:numId="33" w16cid:durableId="998968144">
    <w:abstractNumId w:val="27"/>
  </w:num>
  <w:num w:numId="34" w16cid:durableId="637689631">
    <w:abstractNumId w:val="13"/>
    <w:lvlOverride w:ilvl="0">
      <w:startOverride w:val="1"/>
    </w:lvlOverride>
  </w:num>
  <w:num w:numId="35" w16cid:durableId="150029074">
    <w:abstractNumId w:val="13"/>
    <w:lvlOverride w:ilvl="0">
      <w:startOverride w:val="1"/>
    </w:lvlOverride>
  </w:num>
  <w:num w:numId="36" w16cid:durableId="7769456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271C5"/>
    <w:rsid w:val="00031B79"/>
    <w:rsid w:val="0003442C"/>
    <w:rsid w:val="00034B77"/>
    <w:rsid w:val="00036F8C"/>
    <w:rsid w:val="000403AE"/>
    <w:rsid w:val="0004177C"/>
    <w:rsid w:val="00050683"/>
    <w:rsid w:val="00053B2E"/>
    <w:rsid w:val="000650E5"/>
    <w:rsid w:val="00067023"/>
    <w:rsid w:val="0006735E"/>
    <w:rsid w:val="000712D5"/>
    <w:rsid w:val="00081314"/>
    <w:rsid w:val="00081747"/>
    <w:rsid w:val="00081D77"/>
    <w:rsid w:val="00085484"/>
    <w:rsid w:val="00085D7A"/>
    <w:rsid w:val="000968E1"/>
    <w:rsid w:val="000A06F6"/>
    <w:rsid w:val="000B6AE7"/>
    <w:rsid w:val="000C21BE"/>
    <w:rsid w:val="000C46F1"/>
    <w:rsid w:val="000C4DB0"/>
    <w:rsid w:val="000D2CAF"/>
    <w:rsid w:val="000D4F4C"/>
    <w:rsid w:val="000F2C11"/>
    <w:rsid w:val="000F400B"/>
    <w:rsid w:val="0010541B"/>
    <w:rsid w:val="00114406"/>
    <w:rsid w:val="001234F5"/>
    <w:rsid w:val="00124A09"/>
    <w:rsid w:val="001316C5"/>
    <w:rsid w:val="00134ED5"/>
    <w:rsid w:val="0014692A"/>
    <w:rsid w:val="00152AB3"/>
    <w:rsid w:val="001556F3"/>
    <w:rsid w:val="00167619"/>
    <w:rsid w:val="00170C54"/>
    <w:rsid w:val="00172783"/>
    <w:rsid w:val="001743EC"/>
    <w:rsid w:val="00180047"/>
    <w:rsid w:val="00186AA6"/>
    <w:rsid w:val="00191DD2"/>
    <w:rsid w:val="0019206C"/>
    <w:rsid w:val="001B020C"/>
    <w:rsid w:val="001B0334"/>
    <w:rsid w:val="001B2E51"/>
    <w:rsid w:val="001C2075"/>
    <w:rsid w:val="001C2E5B"/>
    <w:rsid w:val="001D1207"/>
    <w:rsid w:val="001E3DB5"/>
    <w:rsid w:val="001E7EDB"/>
    <w:rsid w:val="001F0ED7"/>
    <w:rsid w:val="001F1173"/>
    <w:rsid w:val="001F2329"/>
    <w:rsid w:val="001F512A"/>
    <w:rsid w:val="00200DD8"/>
    <w:rsid w:val="00201147"/>
    <w:rsid w:val="00231F0E"/>
    <w:rsid w:val="00233A4C"/>
    <w:rsid w:val="00234ABB"/>
    <w:rsid w:val="0023548C"/>
    <w:rsid w:val="002513FE"/>
    <w:rsid w:val="0025480C"/>
    <w:rsid w:val="002577ED"/>
    <w:rsid w:val="00262D2F"/>
    <w:rsid w:val="002748F2"/>
    <w:rsid w:val="00274AC7"/>
    <w:rsid w:val="002775B6"/>
    <w:rsid w:val="00282E76"/>
    <w:rsid w:val="00285E41"/>
    <w:rsid w:val="0029224C"/>
    <w:rsid w:val="002947C5"/>
    <w:rsid w:val="002A446C"/>
    <w:rsid w:val="002B2B63"/>
    <w:rsid w:val="002E2421"/>
    <w:rsid w:val="002F221E"/>
    <w:rsid w:val="002F79BE"/>
    <w:rsid w:val="00305C29"/>
    <w:rsid w:val="0031286C"/>
    <w:rsid w:val="00313303"/>
    <w:rsid w:val="0032640E"/>
    <w:rsid w:val="00326901"/>
    <w:rsid w:val="00341AF8"/>
    <w:rsid w:val="00343F74"/>
    <w:rsid w:val="00345950"/>
    <w:rsid w:val="00354028"/>
    <w:rsid w:val="00356884"/>
    <w:rsid w:val="00357347"/>
    <w:rsid w:val="0036091A"/>
    <w:rsid w:val="00361BA7"/>
    <w:rsid w:val="00361C0D"/>
    <w:rsid w:val="00375E6C"/>
    <w:rsid w:val="003866A5"/>
    <w:rsid w:val="003913E5"/>
    <w:rsid w:val="003C3ECA"/>
    <w:rsid w:val="003C4291"/>
    <w:rsid w:val="003D1263"/>
    <w:rsid w:val="003D562A"/>
    <w:rsid w:val="003F021E"/>
    <w:rsid w:val="004004D1"/>
    <w:rsid w:val="00401DEF"/>
    <w:rsid w:val="00402320"/>
    <w:rsid w:val="004063A4"/>
    <w:rsid w:val="00414E4D"/>
    <w:rsid w:val="00466BB0"/>
    <w:rsid w:val="00470493"/>
    <w:rsid w:val="00472016"/>
    <w:rsid w:val="00474613"/>
    <w:rsid w:val="0048247F"/>
    <w:rsid w:val="0049004A"/>
    <w:rsid w:val="004A291E"/>
    <w:rsid w:val="004A393B"/>
    <w:rsid w:val="004A4B26"/>
    <w:rsid w:val="004A5E16"/>
    <w:rsid w:val="004B29E3"/>
    <w:rsid w:val="004C0A1B"/>
    <w:rsid w:val="004C0A56"/>
    <w:rsid w:val="004C1E98"/>
    <w:rsid w:val="004C2573"/>
    <w:rsid w:val="004D0FEE"/>
    <w:rsid w:val="004D4BD2"/>
    <w:rsid w:val="004F374D"/>
    <w:rsid w:val="00502B00"/>
    <w:rsid w:val="00523F44"/>
    <w:rsid w:val="005266AA"/>
    <w:rsid w:val="0053326F"/>
    <w:rsid w:val="00533E1B"/>
    <w:rsid w:val="00541615"/>
    <w:rsid w:val="00550D56"/>
    <w:rsid w:val="005544B9"/>
    <w:rsid w:val="0056364D"/>
    <w:rsid w:val="0059348A"/>
    <w:rsid w:val="005A170E"/>
    <w:rsid w:val="005A2567"/>
    <w:rsid w:val="005B2CD9"/>
    <w:rsid w:val="005B378B"/>
    <w:rsid w:val="005B43C2"/>
    <w:rsid w:val="005B6477"/>
    <w:rsid w:val="005C18AE"/>
    <w:rsid w:val="005C68BC"/>
    <w:rsid w:val="005D2475"/>
    <w:rsid w:val="005D2673"/>
    <w:rsid w:val="005E2D10"/>
    <w:rsid w:val="005E69DC"/>
    <w:rsid w:val="005F0DEA"/>
    <w:rsid w:val="005F12E8"/>
    <w:rsid w:val="005F4497"/>
    <w:rsid w:val="005F5E3C"/>
    <w:rsid w:val="006068E5"/>
    <w:rsid w:val="00613800"/>
    <w:rsid w:val="006209FC"/>
    <w:rsid w:val="00621141"/>
    <w:rsid w:val="00636D0A"/>
    <w:rsid w:val="00644ECC"/>
    <w:rsid w:val="00645190"/>
    <w:rsid w:val="006514FE"/>
    <w:rsid w:val="0065173B"/>
    <w:rsid w:val="0065215A"/>
    <w:rsid w:val="006542A8"/>
    <w:rsid w:val="00656418"/>
    <w:rsid w:val="006606D2"/>
    <w:rsid w:val="00660F88"/>
    <w:rsid w:val="00674FF8"/>
    <w:rsid w:val="006774B8"/>
    <w:rsid w:val="00694E0B"/>
    <w:rsid w:val="006B1519"/>
    <w:rsid w:val="006B2A62"/>
    <w:rsid w:val="006B68F3"/>
    <w:rsid w:val="006B7E29"/>
    <w:rsid w:val="006C32BD"/>
    <w:rsid w:val="006C3DD8"/>
    <w:rsid w:val="006C60F0"/>
    <w:rsid w:val="006E42E3"/>
    <w:rsid w:val="006F18B8"/>
    <w:rsid w:val="006F51AD"/>
    <w:rsid w:val="006F6F5A"/>
    <w:rsid w:val="00703EEB"/>
    <w:rsid w:val="007054D1"/>
    <w:rsid w:val="00714F85"/>
    <w:rsid w:val="00721801"/>
    <w:rsid w:val="00722121"/>
    <w:rsid w:val="00731616"/>
    <w:rsid w:val="00732E46"/>
    <w:rsid w:val="007333FF"/>
    <w:rsid w:val="00746577"/>
    <w:rsid w:val="0075433F"/>
    <w:rsid w:val="00756915"/>
    <w:rsid w:val="00757D72"/>
    <w:rsid w:val="007621F3"/>
    <w:rsid w:val="00770496"/>
    <w:rsid w:val="00770F9A"/>
    <w:rsid w:val="00771AA2"/>
    <w:rsid w:val="007938DE"/>
    <w:rsid w:val="00793D8D"/>
    <w:rsid w:val="007973DF"/>
    <w:rsid w:val="007A2DEB"/>
    <w:rsid w:val="007B07C3"/>
    <w:rsid w:val="007B38DE"/>
    <w:rsid w:val="007B62A7"/>
    <w:rsid w:val="007C410D"/>
    <w:rsid w:val="007C5FE2"/>
    <w:rsid w:val="007D25CE"/>
    <w:rsid w:val="007E5119"/>
    <w:rsid w:val="007E713A"/>
    <w:rsid w:val="007F3A45"/>
    <w:rsid w:val="007F4FB6"/>
    <w:rsid w:val="00800563"/>
    <w:rsid w:val="00806DCA"/>
    <w:rsid w:val="0080720F"/>
    <w:rsid w:val="00810E2F"/>
    <w:rsid w:val="00813371"/>
    <w:rsid w:val="00816522"/>
    <w:rsid w:val="00827FB8"/>
    <w:rsid w:val="008313C6"/>
    <w:rsid w:val="00846FC5"/>
    <w:rsid w:val="00851B4D"/>
    <w:rsid w:val="00856C46"/>
    <w:rsid w:val="00874977"/>
    <w:rsid w:val="00877D0D"/>
    <w:rsid w:val="00885259"/>
    <w:rsid w:val="008856C3"/>
    <w:rsid w:val="0089298D"/>
    <w:rsid w:val="008B7DC6"/>
    <w:rsid w:val="008C11A4"/>
    <w:rsid w:val="008C3B0B"/>
    <w:rsid w:val="008D0E3A"/>
    <w:rsid w:val="008D27DF"/>
    <w:rsid w:val="008E1FF8"/>
    <w:rsid w:val="008E4F03"/>
    <w:rsid w:val="008F5634"/>
    <w:rsid w:val="00907C4B"/>
    <w:rsid w:val="0091337E"/>
    <w:rsid w:val="009154B2"/>
    <w:rsid w:val="00916F32"/>
    <w:rsid w:val="00932C04"/>
    <w:rsid w:val="00932FBA"/>
    <w:rsid w:val="009454A2"/>
    <w:rsid w:val="00954BD6"/>
    <w:rsid w:val="00961965"/>
    <w:rsid w:val="0096199E"/>
    <w:rsid w:val="00965967"/>
    <w:rsid w:val="009669BB"/>
    <w:rsid w:val="00970DE9"/>
    <w:rsid w:val="00973BEF"/>
    <w:rsid w:val="00986618"/>
    <w:rsid w:val="009A0AA6"/>
    <w:rsid w:val="009A1378"/>
    <w:rsid w:val="009A4BED"/>
    <w:rsid w:val="009A6C21"/>
    <w:rsid w:val="009B429F"/>
    <w:rsid w:val="009C2DD5"/>
    <w:rsid w:val="009D0B85"/>
    <w:rsid w:val="009D4180"/>
    <w:rsid w:val="009E2C51"/>
    <w:rsid w:val="009E73E3"/>
    <w:rsid w:val="00A14E06"/>
    <w:rsid w:val="00A16DE3"/>
    <w:rsid w:val="00A26A6A"/>
    <w:rsid w:val="00A27561"/>
    <w:rsid w:val="00A30FC7"/>
    <w:rsid w:val="00A320DF"/>
    <w:rsid w:val="00A41540"/>
    <w:rsid w:val="00A530D2"/>
    <w:rsid w:val="00A6122B"/>
    <w:rsid w:val="00A65256"/>
    <w:rsid w:val="00A73A77"/>
    <w:rsid w:val="00A74BC8"/>
    <w:rsid w:val="00A80BDA"/>
    <w:rsid w:val="00A853F3"/>
    <w:rsid w:val="00AA5225"/>
    <w:rsid w:val="00AA65F2"/>
    <w:rsid w:val="00AB4C22"/>
    <w:rsid w:val="00AC0FD4"/>
    <w:rsid w:val="00AE0C99"/>
    <w:rsid w:val="00AE589B"/>
    <w:rsid w:val="00AF3089"/>
    <w:rsid w:val="00B03753"/>
    <w:rsid w:val="00B05CCE"/>
    <w:rsid w:val="00B07BB7"/>
    <w:rsid w:val="00B10AF1"/>
    <w:rsid w:val="00B20C86"/>
    <w:rsid w:val="00B363F1"/>
    <w:rsid w:val="00B51AB6"/>
    <w:rsid w:val="00B54450"/>
    <w:rsid w:val="00B60677"/>
    <w:rsid w:val="00B630FA"/>
    <w:rsid w:val="00B63CC4"/>
    <w:rsid w:val="00B6449B"/>
    <w:rsid w:val="00B66377"/>
    <w:rsid w:val="00B75570"/>
    <w:rsid w:val="00B83635"/>
    <w:rsid w:val="00B83B3B"/>
    <w:rsid w:val="00BA53A3"/>
    <w:rsid w:val="00BA588E"/>
    <w:rsid w:val="00BC0495"/>
    <w:rsid w:val="00BD371A"/>
    <w:rsid w:val="00BE1F0C"/>
    <w:rsid w:val="00BE4774"/>
    <w:rsid w:val="00C04F49"/>
    <w:rsid w:val="00C16047"/>
    <w:rsid w:val="00C2416A"/>
    <w:rsid w:val="00C25825"/>
    <w:rsid w:val="00C31268"/>
    <w:rsid w:val="00C32068"/>
    <w:rsid w:val="00C34969"/>
    <w:rsid w:val="00C52F3D"/>
    <w:rsid w:val="00C54B70"/>
    <w:rsid w:val="00C647FE"/>
    <w:rsid w:val="00C64D24"/>
    <w:rsid w:val="00C67E79"/>
    <w:rsid w:val="00C72820"/>
    <w:rsid w:val="00C73695"/>
    <w:rsid w:val="00C7592D"/>
    <w:rsid w:val="00C821C0"/>
    <w:rsid w:val="00C82B23"/>
    <w:rsid w:val="00C9162C"/>
    <w:rsid w:val="00CB5CB4"/>
    <w:rsid w:val="00CB7386"/>
    <w:rsid w:val="00CC1088"/>
    <w:rsid w:val="00CC21A8"/>
    <w:rsid w:val="00CC5166"/>
    <w:rsid w:val="00CC7154"/>
    <w:rsid w:val="00CC7A72"/>
    <w:rsid w:val="00CD245A"/>
    <w:rsid w:val="00CD54DC"/>
    <w:rsid w:val="00CE200C"/>
    <w:rsid w:val="00CF2837"/>
    <w:rsid w:val="00CF48E2"/>
    <w:rsid w:val="00D050EC"/>
    <w:rsid w:val="00D05F12"/>
    <w:rsid w:val="00D10AC8"/>
    <w:rsid w:val="00D16A1E"/>
    <w:rsid w:val="00D20E00"/>
    <w:rsid w:val="00D2434B"/>
    <w:rsid w:val="00D66528"/>
    <w:rsid w:val="00D74E6D"/>
    <w:rsid w:val="00D83AF6"/>
    <w:rsid w:val="00D868B8"/>
    <w:rsid w:val="00D87F8B"/>
    <w:rsid w:val="00D9120A"/>
    <w:rsid w:val="00DA34C3"/>
    <w:rsid w:val="00DA5A9A"/>
    <w:rsid w:val="00DB0827"/>
    <w:rsid w:val="00DB3364"/>
    <w:rsid w:val="00DB4355"/>
    <w:rsid w:val="00DB6F56"/>
    <w:rsid w:val="00DC6D27"/>
    <w:rsid w:val="00DC758F"/>
    <w:rsid w:val="00DD2303"/>
    <w:rsid w:val="00DD25FD"/>
    <w:rsid w:val="00DD7545"/>
    <w:rsid w:val="00DD7F24"/>
    <w:rsid w:val="00DE052F"/>
    <w:rsid w:val="00DE3C95"/>
    <w:rsid w:val="00DF6629"/>
    <w:rsid w:val="00E05735"/>
    <w:rsid w:val="00E2077B"/>
    <w:rsid w:val="00E247D3"/>
    <w:rsid w:val="00E30D60"/>
    <w:rsid w:val="00E31097"/>
    <w:rsid w:val="00E45781"/>
    <w:rsid w:val="00E57D3D"/>
    <w:rsid w:val="00E61172"/>
    <w:rsid w:val="00E625A7"/>
    <w:rsid w:val="00E653B5"/>
    <w:rsid w:val="00E65DF7"/>
    <w:rsid w:val="00E90136"/>
    <w:rsid w:val="00EA352F"/>
    <w:rsid w:val="00EA5701"/>
    <w:rsid w:val="00EB194B"/>
    <w:rsid w:val="00EB3137"/>
    <w:rsid w:val="00EC2D6B"/>
    <w:rsid w:val="00EC35CE"/>
    <w:rsid w:val="00ED6169"/>
    <w:rsid w:val="00EE01E7"/>
    <w:rsid w:val="00EE02E8"/>
    <w:rsid w:val="00EE15FB"/>
    <w:rsid w:val="00EE4160"/>
    <w:rsid w:val="00EF4240"/>
    <w:rsid w:val="00EF6430"/>
    <w:rsid w:val="00EF6A41"/>
    <w:rsid w:val="00EF6FEA"/>
    <w:rsid w:val="00F03257"/>
    <w:rsid w:val="00F051F5"/>
    <w:rsid w:val="00F05C6F"/>
    <w:rsid w:val="00F0676C"/>
    <w:rsid w:val="00F22A05"/>
    <w:rsid w:val="00F33F99"/>
    <w:rsid w:val="00F53DF4"/>
    <w:rsid w:val="00F61743"/>
    <w:rsid w:val="00F61BF9"/>
    <w:rsid w:val="00F63565"/>
    <w:rsid w:val="00F63B51"/>
    <w:rsid w:val="00F67007"/>
    <w:rsid w:val="00F67602"/>
    <w:rsid w:val="00F72114"/>
    <w:rsid w:val="00F855F7"/>
    <w:rsid w:val="00FA6C74"/>
    <w:rsid w:val="00FB41DF"/>
    <w:rsid w:val="00FB6E5E"/>
    <w:rsid w:val="00FD0A76"/>
    <w:rsid w:val="00FD69D2"/>
    <w:rsid w:val="00FF4CDD"/>
    <w:rsid w:val="00FF6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7F545C09-FC58-41E8-A0A5-80E1E8F9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E06"/>
  </w:style>
  <w:style w:type="paragraph" w:styleId="Ttulo1">
    <w:name w:val="heading 1"/>
    <w:basedOn w:val="Normal"/>
    <w:next w:val="Normal"/>
    <w:link w:val="Ttulo1Car"/>
    <w:autoRedefine/>
    <w:uiPriority w:val="9"/>
    <w:qFormat/>
    <w:rsid w:val="00C2416A"/>
    <w:pPr>
      <w:keepNext/>
      <w:numPr>
        <w:numId w:val="14"/>
      </w:numPr>
      <w:spacing w:before="240" w:after="80"/>
      <w:outlineLvl w:val="0"/>
    </w:pPr>
    <w:rPr>
      <w:smallCaps/>
      <w:kern w:val="28"/>
    </w:rPr>
  </w:style>
  <w:style w:type="paragraph" w:styleId="Ttulo2">
    <w:name w:val="heading 2"/>
    <w:basedOn w:val="Normal"/>
    <w:next w:val="Normal"/>
    <w:link w:val="Ttulo2Car"/>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C2416A"/>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Fuentedeprrafopredeter"/>
    <w:uiPriority w:val="99"/>
    <w:semiHidden/>
    <w:unhideWhenUsed/>
    <w:rsid w:val="00A853F3"/>
    <w:rPr>
      <w:color w:val="605E5C"/>
      <w:shd w:val="clear" w:color="auto" w:fill="E1DFDD"/>
    </w:rPr>
  </w:style>
  <w:style w:type="character" w:styleId="Refdecomentario">
    <w:name w:val="annotation reference"/>
    <w:basedOn w:val="Fuentedeprrafopredeter"/>
    <w:uiPriority w:val="99"/>
    <w:semiHidden/>
    <w:unhideWhenUsed/>
    <w:rsid w:val="001E7EDB"/>
    <w:rPr>
      <w:sz w:val="16"/>
      <w:szCs w:val="16"/>
    </w:rPr>
  </w:style>
  <w:style w:type="paragraph" w:styleId="Textocomentario">
    <w:name w:val="annotation text"/>
    <w:basedOn w:val="Normal"/>
    <w:link w:val="TextocomentarioCar"/>
    <w:uiPriority w:val="99"/>
    <w:semiHidden/>
    <w:unhideWhenUsed/>
    <w:rsid w:val="001E7EDB"/>
  </w:style>
  <w:style w:type="character" w:customStyle="1" w:styleId="TextocomentarioCar">
    <w:name w:val="Texto comentario Car"/>
    <w:basedOn w:val="Fuentedeprrafopredeter"/>
    <w:link w:val="Textocomentario"/>
    <w:uiPriority w:val="99"/>
    <w:semiHidden/>
    <w:rsid w:val="001E7EDB"/>
  </w:style>
  <w:style w:type="paragraph" w:styleId="Asuntodelcomentario">
    <w:name w:val="annotation subject"/>
    <w:basedOn w:val="Textocomentario"/>
    <w:next w:val="Textocomentario"/>
    <w:link w:val="AsuntodelcomentarioCar"/>
    <w:uiPriority w:val="99"/>
    <w:semiHidden/>
    <w:unhideWhenUsed/>
    <w:rsid w:val="001E7EDB"/>
    <w:rPr>
      <w:b/>
      <w:bCs/>
    </w:rPr>
  </w:style>
  <w:style w:type="character" w:customStyle="1" w:styleId="AsuntodelcomentarioCar">
    <w:name w:val="Asunto del comentario Car"/>
    <w:basedOn w:val="TextocomentarioCar"/>
    <w:link w:val="Asuntodelcomentario"/>
    <w:uiPriority w:val="99"/>
    <w:semiHidden/>
    <w:rsid w:val="001E7EDB"/>
    <w:rPr>
      <w:b/>
      <w:bCs/>
    </w:rPr>
  </w:style>
  <w:style w:type="paragraph" w:styleId="Prrafodelista">
    <w:name w:val="List Paragraph"/>
    <w:basedOn w:val="Normal"/>
    <w:uiPriority w:val="34"/>
    <w:qFormat/>
    <w:rsid w:val="00DB3364"/>
    <w:pPr>
      <w:ind w:left="720"/>
      <w:contextualSpacing/>
    </w:pPr>
  </w:style>
  <w:style w:type="character" w:styleId="nfasis">
    <w:name w:val="Emphasis"/>
    <w:basedOn w:val="Fuentedeprrafopredeter"/>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Bibliografa">
    <w:name w:val="Bibliography"/>
    <w:basedOn w:val="Normal"/>
    <w:next w:val="Normal"/>
    <w:uiPriority w:val="37"/>
    <w:unhideWhenUsed/>
    <w:rsid w:val="00733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90802">
      <w:bodyDiv w:val="1"/>
      <w:marLeft w:val="0"/>
      <w:marRight w:val="0"/>
      <w:marTop w:val="0"/>
      <w:marBottom w:val="0"/>
      <w:divBdr>
        <w:top w:val="none" w:sz="0" w:space="0" w:color="auto"/>
        <w:left w:val="none" w:sz="0" w:space="0" w:color="auto"/>
        <w:bottom w:val="none" w:sz="0" w:space="0" w:color="auto"/>
        <w:right w:val="none" w:sz="0" w:space="0" w:color="auto"/>
      </w:divBdr>
    </w:div>
    <w:div w:id="703092417">
      <w:bodyDiv w:val="1"/>
      <w:marLeft w:val="0"/>
      <w:marRight w:val="0"/>
      <w:marTop w:val="0"/>
      <w:marBottom w:val="0"/>
      <w:divBdr>
        <w:top w:val="none" w:sz="0" w:space="0" w:color="auto"/>
        <w:left w:val="none" w:sz="0" w:space="0" w:color="auto"/>
        <w:bottom w:val="none" w:sz="0" w:space="0" w:color="auto"/>
        <w:right w:val="none" w:sz="0" w:space="0" w:color="auto"/>
      </w:divBdr>
    </w:div>
    <w:div w:id="809127540">
      <w:bodyDiv w:val="1"/>
      <w:marLeft w:val="0"/>
      <w:marRight w:val="0"/>
      <w:marTop w:val="0"/>
      <w:marBottom w:val="0"/>
      <w:divBdr>
        <w:top w:val="none" w:sz="0" w:space="0" w:color="auto"/>
        <w:left w:val="none" w:sz="0" w:space="0" w:color="auto"/>
        <w:bottom w:val="none" w:sz="0" w:space="0" w:color="auto"/>
        <w:right w:val="none" w:sz="0" w:space="0" w:color="auto"/>
      </w:divBdr>
    </w:div>
    <w:div w:id="118852395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309066">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37980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journals.ieeeauthorcenter.ieee.org/create-your-ieee-journal-article/create-the-text-of-your-article/ieee-editorial-style-manual/"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Dev22</b:Tag>
    <b:SourceType>JournalArticle</b:SourceType>
    <b:Guid>{FA23D71B-2424-4CFC-9B0F-29C574566572}</b:Guid>
    <b:Author>
      <b:Author>
        <b:NameList>
          <b:Person>
            <b:Last>Dev</b:Last>
            <b:First>A.,</b:First>
            <b:Middle>Roy, N., Islam, M. K., Biswas, C., Ahmed, H. U., Amin, M. A., &amp; Mamun, K. A.</b:Middle>
          </b:Person>
        </b:NameList>
      </b:Author>
    </b:Author>
    <b:Title>Exploration of EEG-based depression biomarkers identification techniques and their applications: a systematic review</b:Title>
    <b:JournalName>IEEE Acces</b:JournalName>
    <b:Year>2022</b:Year>
    <b:Pages>16756-16781</b:Pages>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0628F1-E6F2-4047-80B8-AA3CE84C0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Pages>
  <Words>1107</Words>
  <Characters>6092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Hermes Javier Mora</cp:lastModifiedBy>
  <cp:revision>179</cp:revision>
  <dcterms:created xsi:type="dcterms:W3CDTF">2024-06-12T13:11:00Z</dcterms:created>
  <dcterms:modified xsi:type="dcterms:W3CDTF">2026-09-04T03:27:00Z</dcterms:modified>
</cp:coreProperties>
</file>