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Propuesta de Implementación Tecnológica</w:t>
        <w:br/>
        <w:t>Agente Judicial IA</w:t>
      </w:r>
    </w:p>
    <w:p>
      <w:r>
        <w:t>Estimado Cliente,</w:t>
      </w:r>
    </w:p>
    <w:p>
      <w:pPr>
        <w:jc w:val="both"/>
      </w:pPr>
      <w:r>
        <w:t>Esta propuesta detalla el alcance técnico y comercial para la implementación de su asistente legal automatizado. Se ha diseñado para ofrecer claridad total sobre los servicios contratados y sus límites.</w:t>
      </w:r>
    </w:p>
    <w:p>
      <w:pPr>
        <w:pStyle w:val="Heading1"/>
      </w:pPr>
      <w:r>
        <w:t>1. Etapa A: Implementación Inicial (Puesta en Marcha)</w:t>
      </w:r>
    </w:p>
    <w:p>
      <w:pPr>
        <w:pStyle w:val="IntenseQuote"/>
      </w:pPr>
      <w:r>
        <w:t>Objetivo: Dejar el sistema 100% operativo en su computador, adaptado a su forma de trabajar.</w:t>
      </w:r>
    </w:p>
    <w:p>
      <w:r>
        <w:rPr>
          <w:b/>
          <w:color w:val="0066CC"/>
          <w:sz w:val="28"/>
        </w:rPr>
        <w:t>Inversión Única: $150.000 CLP</w:t>
      </w:r>
    </w:p>
    <w:tbl>
      <w:tblPr>
        <w:tblStyle w:val="LightShading-Accent1"/>
        <w:tblW w:type="auto" w:w="0"/>
        <w:tblLook w:firstColumn="1" w:firstRow="1" w:lastColumn="0" w:lastRow="0" w:noHBand="0" w:noVBand="1" w:val="04A0"/>
      </w:tblPr>
      <w:tblGrid>
        <w:gridCol w:w="4320"/>
        <w:gridCol w:w="4320"/>
      </w:tblGrid>
      <w:tr>
        <w:tc>
          <w:tcPr>
            <w:tcW w:type="dxa" w:w="4320"/>
          </w:tcPr>
          <w:p>
            <w:r>
              <w:t>✅ LO QUE INCLUYE</w:t>
            </w:r>
          </w:p>
        </w:tc>
        <w:tc>
          <w:tcPr>
            <w:tcW w:type="dxa" w:w="4320"/>
          </w:tcPr>
          <w:p>
            <w:r>
              <w:t>❌ LO QUE NO INCLUYE</w:t>
            </w:r>
          </w:p>
        </w:tc>
      </w:tr>
      <w:tr>
        <w:tc>
          <w:tcPr>
            <w:tcW w:type="dxa" w:w="4320"/>
          </w:tcPr>
          <w:p>
            <w:r>
              <w:t>Instalación: Configuración del software en 1 equipo principal.</w:t>
            </w:r>
          </w:p>
        </w:tc>
        <w:tc>
          <w:tcPr>
            <w:tcW w:type="dxa" w:w="4320"/>
          </w:tcPr>
          <w:p>
            <w:r>
              <w:t>Hardware (computadores, servidores).</w:t>
            </w:r>
          </w:p>
        </w:tc>
      </w:tr>
      <w:tr>
        <w:tc>
          <w:tcPr>
            <w:tcW w:type="dxa" w:w="4320"/>
          </w:tcPr>
          <w:p>
            <w:r>
              <w:t>Entrenamiento (5 Modelos): Digitalización de sus 5 escritos más usados.</w:t>
            </w:r>
          </w:p>
        </w:tc>
        <w:tc>
          <w:tcPr>
            <w:tcW w:type="dxa" w:w="4320"/>
          </w:tcPr>
          <w:p>
            <w:r>
              <w:t>Digitalización de todo su archivo histórico (se cotiza aparte).</w:t>
            </w:r>
          </w:p>
        </w:tc>
      </w:tr>
      <w:tr>
        <w:tc>
          <w:tcPr>
            <w:tcW w:type="dxa" w:w="4320"/>
          </w:tcPr>
          <w:p>
            <w:r>
              <w:t>Conexiones: Configuración de API Keys (Google, BCN).</w:t>
            </w:r>
          </w:p>
        </w:tc>
        <w:tc>
          <w:tcPr>
            <w:tcW w:type="dxa" w:w="4320"/>
          </w:tcPr>
          <w:p>
            <w:r>
              <w:t>Pago de licencias de terceros.</w:t>
            </w:r>
          </w:p>
        </w:tc>
      </w:tr>
      <w:tr>
        <w:tc>
          <w:tcPr>
            <w:tcW w:type="dxa" w:w="4320"/>
          </w:tcPr>
          <w:p>
            <w:r>
              <w:t>Inducción: Capacitación de 45 min.</w:t>
            </w:r>
          </w:p>
        </w:tc>
        <w:tc>
          <w:tcPr>
            <w:tcW w:type="dxa" w:w="4320"/>
          </w:tcPr>
          <w:p>
            <w:r>
              <w:t>Desarrollos a medida de nuevas funciones.</w:t>
            </w:r>
          </w:p>
        </w:tc>
      </w:tr>
    </w:tbl>
    <w:p>
      <w:pPr>
        <w:pStyle w:val="Heading1"/>
      </w:pPr>
      <w:r>
        <w:t>2. Etapa B: Servicio de Continuidad (Suscripción Mensual)</w:t>
      </w:r>
    </w:p>
    <w:p>
      <w:pPr>
        <w:pStyle w:val="IntenseQuote"/>
      </w:pPr>
      <w:r>
        <w:t>Objetivo: Asegurar que la herramienta no falle y siga vigente tecnológicamente.</w:t>
      </w:r>
    </w:p>
    <w:p>
      <w:r>
        <w:rPr>
          <w:b/>
          <w:color w:val="0066CC"/>
          <w:sz w:val="28"/>
        </w:rPr>
        <w:t>Inversión Mensual: $65.000 CLP</w:t>
      </w:r>
    </w:p>
    <w:tbl>
      <w:tblPr>
        <w:tblStyle w:val="LightShading-Accent1"/>
        <w:tblW w:type="auto" w:w="0"/>
        <w:tblLook w:firstColumn="1" w:firstRow="1" w:lastColumn="0" w:lastRow="0" w:noHBand="0" w:noVBand="1" w:val="04A0"/>
      </w:tblPr>
      <w:tblGrid>
        <w:gridCol w:w="4320"/>
        <w:gridCol w:w="4320"/>
      </w:tblGrid>
      <w:tr>
        <w:tc>
          <w:tcPr>
            <w:tcW w:type="dxa" w:w="4320"/>
          </w:tcPr>
          <w:p>
            <w:r>
              <w:t>✅ LO QUE INCLUYE</w:t>
            </w:r>
          </w:p>
        </w:tc>
        <w:tc>
          <w:tcPr>
            <w:tcW w:type="dxa" w:w="4320"/>
          </w:tcPr>
          <w:p>
            <w:r>
              <w:t>❌ LO QUE NO INCLUYE</w:t>
            </w:r>
          </w:p>
        </w:tc>
      </w:tr>
      <w:tr>
        <w:tc>
          <w:tcPr>
            <w:tcW w:type="dxa" w:w="4320"/>
          </w:tcPr>
          <w:p>
            <w:r>
              <w:t>Garantía Operativa: Si falla, lo reparamos sin costo.</w:t>
            </w:r>
          </w:p>
        </w:tc>
        <w:tc>
          <w:tcPr>
            <w:tcW w:type="dxa" w:w="4320"/>
          </w:tcPr>
          <w:p>
            <w:r>
              <w:t>Reparación de fallas del computador (virus, etc).</w:t>
            </w:r>
          </w:p>
        </w:tc>
      </w:tr>
      <w:tr>
        <w:tc>
          <w:tcPr>
            <w:tcW w:type="dxa" w:w="4320"/>
          </w:tcPr>
          <w:p>
            <w:r>
              <w:t>Actualizaciones IA: Acceso a nuevas versiones de Gemini.</w:t>
            </w:r>
          </w:p>
        </w:tc>
        <w:tc>
          <w:tcPr>
            <w:tcW w:type="dxa" w:w="4320"/>
          </w:tcPr>
          <w:p>
            <w:r>
              <w:t>Creación de nuevos modelos mes a mes.</w:t>
            </w:r>
          </w:p>
        </w:tc>
      </w:tr>
      <w:tr>
        <w:tc>
          <w:tcPr>
            <w:tcW w:type="dxa" w:w="4320"/>
          </w:tcPr>
          <w:p>
            <w:r>
              <w:t>Mantenimiento BCN: Ajustes por cambios en web de leyes.</w:t>
            </w:r>
          </w:p>
        </w:tc>
        <w:tc>
          <w:tcPr>
            <w:tcW w:type="dxa" w:w="4320"/>
          </w:tcPr>
          <w:p>
            <w:r>
              <w:t>Modificaciones estructurales profundas.</w:t>
            </w:r>
          </w:p>
        </w:tc>
      </w:tr>
      <w:tr>
        <w:tc>
          <w:tcPr>
            <w:tcW w:type="dxa" w:w="4320"/>
          </w:tcPr>
          <w:p>
            <w:r>
              <w:t>Soporte Prioritario: Respuesta en horario hábil.</w:t>
            </w:r>
          </w:p>
        </w:tc>
        <w:tc>
          <w:tcPr>
            <w:tcW w:type="dxa" w:w="4320"/>
          </w:tcPr>
          <w:p>
            <w:r>
              <w:t>Soporte 24/7 o presencial de emergencia.</w:t>
            </w:r>
          </w:p>
        </w:tc>
      </w:tr>
    </w:tbl>
    <w:p>
      <w:pPr>
        <w:pStyle w:val="Heading1"/>
      </w:pPr>
      <w:r>
        <w:t>3. Resumen de Valor</w:t>
      </w:r>
    </w:p>
    <w:p>
      <w:r>
        <w:t>Contratar la Etapa B es su seguro contra la obsolescencia. Sin este servicio, el software es un producto 'congelado' que podría dejar de funcionar en unos meses. Con la suscripción, usted tiene un Socio Tecnológico que se encarga de esos problemas.</w:t>
      </w:r>
    </w:p>
    <w:p>
      <w:r>
        <w:br/>
        <w:t>Quedo atento a sus dudas para proceder.</w:t>
        <w:br/>
        <w:br/>
        <w:t>Atentamente,</w:t>
      </w:r>
    </w:p>
    <w:p>
      <w:r>
        <w:rPr>
          <w:b/>
        </w:rPr>
        <w:t>[Su Nombre]</w:t>
        <w:br/>
        <w:t>Consultoría en Tecnología Legal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